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81B" w14:textId="77777777" w:rsidR="00464CF8" w:rsidRPr="0090370E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3763FF3F" w14:textId="77777777" w:rsidR="00464CF8" w:rsidRPr="0090370E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5054C926" w14:textId="77777777" w:rsidR="00464CF8" w:rsidRPr="0090370E" w:rsidRDefault="00464CF8" w:rsidP="004C7663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44"/>
          <w:szCs w:val="44"/>
        </w:rPr>
      </w:pPr>
    </w:p>
    <w:p w14:paraId="37DB2DC8" w14:textId="7BF53DDE" w:rsidR="00464CF8" w:rsidRPr="0090370E" w:rsidRDefault="00464CF8" w:rsidP="006F1DF1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b/>
          <w:bCs/>
          <w:i/>
          <w:iCs/>
          <w:color w:val="1A2E44"/>
          <w:spacing w:val="0"/>
          <w:sz w:val="44"/>
          <w:szCs w:val="44"/>
        </w:rPr>
      </w:pPr>
      <w:r w:rsidRPr="0090370E">
        <w:rPr>
          <w:rFonts w:ascii="Candara" w:hAnsi="Candara"/>
          <w:b/>
          <w:bCs/>
          <w:i/>
          <w:iCs/>
          <w:color w:val="1A2E44"/>
          <w:spacing w:val="0"/>
          <w:sz w:val="44"/>
          <w:szCs w:val="44"/>
        </w:rPr>
        <w:t>Les clés de la Vente-Conseil</w:t>
      </w:r>
    </w:p>
    <w:p w14:paraId="5C2F690F" w14:textId="436C843C" w:rsidR="00526A94" w:rsidRPr="0090370E" w:rsidRDefault="00464CF8" w:rsidP="00526A94">
      <w:pPr>
        <w:pStyle w:val="Titre"/>
        <w:pBdr>
          <w:bottom w:val="none" w:sz="0" w:space="0" w:color="auto"/>
        </w:pBdr>
        <w:spacing w:after="240"/>
        <w:jc w:val="center"/>
        <w:rPr>
          <w:rFonts w:ascii="Candara" w:hAnsi="Candara"/>
          <w:i/>
          <w:iCs/>
          <w:color w:val="1A2E44"/>
          <w:spacing w:val="0"/>
          <w:sz w:val="38"/>
          <w:szCs w:val="38"/>
        </w:rPr>
      </w:pPr>
      <w:r w:rsidRPr="0090370E">
        <w:rPr>
          <w:rFonts w:ascii="Candara" w:hAnsi="Candara"/>
          <w:i/>
          <w:iCs/>
          <w:color w:val="1A2E44"/>
          <w:spacing w:val="0"/>
          <w:sz w:val="38"/>
          <w:szCs w:val="38"/>
        </w:rPr>
        <w:t xml:space="preserve">Approche Solution, </w:t>
      </w:r>
      <w:r w:rsidR="000F3C56" w:rsidRPr="0090370E">
        <w:rPr>
          <w:rFonts w:ascii="Candara" w:hAnsi="Candara"/>
          <w:i/>
          <w:iCs/>
          <w:color w:val="1A2E44"/>
          <w:spacing w:val="0"/>
          <w:sz w:val="38"/>
          <w:szCs w:val="38"/>
        </w:rPr>
        <w:t>i</w:t>
      </w:r>
      <w:r w:rsidRPr="0090370E">
        <w:rPr>
          <w:rFonts w:ascii="Candara" w:hAnsi="Candara"/>
          <w:i/>
          <w:iCs/>
          <w:color w:val="1A2E44"/>
          <w:spacing w:val="0"/>
          <w:sz w:val="38"/>
          <w:szCs w:val="38"/>
        </w:rPr>
        <w:t xml:space="preserve">ntimité-client et </w:t>
      </w:r>
      <w:r w:rsidR="000F3C56" w:rsidRPr="0090370E">
        <w:rPr>
          <w:rFonts w:ascii="Candara" w:hAnsi="Candara"/>
          <w:i/>
          <w:iCs/>
          <w:color w:val="1A2E44"/>
          <w:spacing w:val="0"/>
          <w:sz w:val="38"/>
          <w:szCs w:val="38"/>
        </w:rPr>
        <w:t>e</w:t>
      </w:r>
      <w:r w:rsidRPr="0090370E">
        <w:rPr>
          <w:rFonts w:ascii="Candara" w:hAnsi="Candara"/>
          <w:i/>
          <w:iCs/>
          <w:color w:val="1A2E44"/>
          <w:spacing w:val="0"/>
          <w:sz w:val="38"/>
          <w:szCs w:val="38"/>
        </w:rPr>
        <w:t xml:space="preserve">fficacité </w:t>
      </w:r>
      <w:r w:rsidR="00E25F75" w:rsidRPr="0090370E">
        <w:rPr>
          <w:rFonts w:ascii="Candara" w:hAnsi="Candara"/>
          <w:i/>
          <w:iCs/>
          <w:color w:val="1A2E44"/>
          <w:spacing w:val="0"/>
          <w:sz w:val="38"/>
          <w:szCs w:val="38"/>
        </w:rPr>
        <w:t>commerciale</w:t>
      </w:r>
    </w:p>
    <w:p w14:paraId="5F576BDF" w14:textId="77777777" w:rsidR="00526A94" w:rsidRPr="0090370E" w:rsidRDefault="00526A94" w:rsidP="00526A94">
      <w:pPr>
        <w:spacing w:after="0" w:line="240" w:lineRule="auto"/>
        <w:rPr>
          <w:color w:val="1A2E44"/>
        </w:rPr>
      </w:pPr>
    </w:p>
    <w:p w14:paraId="0F9532E5" w14:textId="77777777" w:rsidR="0085338E" w:rsidRPr="0090370E" w:rsidRDefault="0085338E" w:rsidP="006F1DF1">
      <w:pPr>
        <w:pStyle w:val="Titre"/>
        <w:pBdr>
          <w:bottom w:val="single" w:sz="12" w:space="1" w:color="1A2E44"/>
        </w:pBdr>
        <w:tabs>
          <w:tab w:val="center" w:pos="4820"/>
          <w:tab w:val="right" w:pos="9638"/>
        </w:tabs>
        <w:spacing w:after="240" w:line="276" w:lineRule="auto"/>
        <w:rPr>
          <w:rFonts w:ascii="Candara" w:hAnsi="Candara"/>
          <w:color w:val="1A2E44"/>
          <w:spacing w:val="0"/>
          <w:sz w:val="8"/>
          <w:szCs w:val="8"/>
        </w:rPr>
      </w:pPr>
    </w:p>
    <w:p w14:paraId="4A145B99" w14:textId="1221CBDF" w:rsidR="00491429" w:rsidRPr="0090370E" w:rsidRDefault="009B42F9" w:rsidP="0085338E">
      <w:pPr>
        <w:pStyle w:val="Titre"/>
        <w:pBdr>
          <w:bottom w:val="single" w:sz="12" w:space="1" w:color="1A2E44"/>
        </w:pBdr>
        <w:tabs>
          <w:tab w:val="center" w:pos="4820"/>
          <w:tab w:val="right" w:pos="9638"/>
        </w:tabs>
        <w:spacing w:after="120" w:line="276" w:lineRule="auto"/>
        <w:rPr>
          <w:rFonts w:ascii="Candara" w:hAnsi="Candara"/>
          <w:color w:val="1A2E44"/>
          <w:spacing w:val="0"/>
          <w:sz w:val="2"/>
          <w:szCs w:val="2"/>
        </w:rPr>
      </w:pPr>
      <w:r w:rsidRPr="0090370E">
        <w:rPr>
          <w:rFonts w:ascii="Candara" w:hAnsi="Candara"/>
          <w:color w:val="1A2E44"/>
          <w:spacing w:val="0"/>
          <w:sz w:val="28"/>
          <w:szCs w:val="28"/>
        </w:rPr>
        <w:t>Durée : 3 jours</w:t>
      </w:r>
      <w:r w:rsidR="006F1DF1" w:rsidRPr="0090370E">
        <w:rPr>
          <w:rFonts w:ascii="Candara" w:hAnsi="Candara"/>
          <w:color w:val="1A2E44"/>
          <w:spacing w:val="0"/>
          <w:sz w:val="28"/>
          <w:szCs w:val="28"/>
        </w:rPr>
        <w:tab/>
      </w:r>
      <w:r w:rsidRPr="0090370E">
        <w:rPr>
          <w:rFonts w:ascii="Candara" w:hAnsi="Candara"/>
          <w:color w:val="1A2E44"/>
          <w:spacing w:val="0"/>
          <w:sz w:val="28"/>
          <w:szCs w:val="28"/>
        </w:rPr>
        <w:t>21 heures</w:t>
      </w:r>
      <w:r w:rsidR="006F1DF1" w:rsidRPr="0090370E">
        <w:rPr>
          <w:rFonts w:ascii="Candara" w:hAnsi="Candara"/>
          <w:color w:val="1A2E44"/>
          <w:spacing w:val="0"/>
          <w:sz w:val="28"/>
          <w:szCs w:val="28"/>
        </w:rPr>
        <w:tab/>
      </w:r>
      <w:bookmarkStart w:id="0" w:name="_Hlk165887898"/>
      <w:r w:rsidR="00526A94" w:rsidRPr="0090370E">
        <w:rPr>
          <w:rFonts w:ascii="Candara" w:hAnsi="Candara"/>
          <w:color w:val="1A2E44"/>
          <w:spacing w:val="0"/>
          <w:sz w:val="28"/>
          <w:szCs w:val="28"/>
        </w:rPr>
        <w:t>Tarif</w:t>
      </w:r>
      <w:r w:rsidRPr="0090370E">
        <w:rPr>
          <w:rFonts w:ascii="Candara" w:hAnsi="Candara"/>
          <w:color w:val="1A2E44"/>
          <w:spacing w:val="0"/>
          <w:sz w:val="28"/>
          <w:szCs w:val="28"/>
        </w:rPr>
        <w:t xml:space="preserve"> : </w:t>
      </w:r>
      <w:r w:rsidR="006F1DF1" w:rsidRPr="0090370E">
        <w:rPr>
          <w:rFonts w:ascii="Candara" w:hAnsi="Candara"/>
          <w:color w:val="1A2E44"/>
          <w:spacing w:val="0"/>
          <w:sz w:val="28"/>
          <w:szCs w:val="28"/>
        </w:rPr>
        <w:t>sur devis</w:t>
      </w:r>
      <w:bookmarkEnd w:id="0"/>
      <w:r w:rsidR="00491429" w:rsidRPr="0090370E">
        <w:rPr>
          <w:rFonts w:ascii="Candara" w:hAnsi="Candara"/>
          <w:color w:val="1A2E44"/>
          <w:spacing w:val="0"/>
          <w:sz w:val="24"/>
          <w:szCs w:val="24"/>
        </w:rPr>
        <w:br/>
      </w:r>
    </w:p>
    <w:tbl>
      <w:tblPr>
        <w:tblStyle w:val="Grilledutableau"/>
        <w:tblW w:w="98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6428A" w:rsidRPr="0090370E" w14:paraId="32A0D1A6" w14:textId="77777777" w:rsidTr="0026428A">
        <w:trPr>
          <w:jc w:val="center"/>
        </w:trPr>
        <w:tc>
          <w:tcPr>
            <w:tcW w:w="3288" w:type="dxa"/>
          </w:tcPr>
          <w:p w14:paraId="37A34EB9" w14:textId="1C1C7147" w:rsidR="0026428A" w:rsidRPr="0090370E" w:rsidRDefault="0026428A" w:rsidP="00526A94">
            <w:pPr>
              <w:spacing w:before="120" w:after="120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ab/>
            </w:r>
            <w:r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Public</w:t>
            </w:r>
          </w:p>
          <w:p w14:paraId="3034D0B2" w14:textId="34ADB1FB" w:rsidR="006F1DF1" w:rsidRPr="0090370E" w:rsidRDefault="00931E15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Equipes commerciales</w:t>
            </w:r>
            <w:r w:rsidR="00526A94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terrain et sédentaires</w:t>
            </w:r>
          </w:p>
          <w:p w14:paraId="3DBD4997" w14:textId="4812C2DF" w:rsidR="006F1DF1" w:rsidRPr="0090370E" w:rsidRDefault="006F1DF1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Equipe</w:t>
            </w:r>
            <w:r w:rsidR="00526A94" w:rsidRPr="0090370E">
              <w:rPr>
                <w:rFonts w:ascii="Candara" w:hAnsi="Candara"/>
                <w:color w:val="1A2E44"/>
                <w:sz w:val="24"/>
                <w:szCs w:val="24"/>
              </w:rPr>
              <w:t>s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technico-commerciales</w:t>
            </w:r>
          </w:p>
          <w:p w14:paraId="40C20E56" w14:textId="02E6B457" w:rsidR="006F1DF1" w:rsidRPr="0090370E" w:rsidRDefault="006F1DF1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Equipes marketing</w:t>
            </w:r>
          </w:p>
          <w:p w14:paraId="383EF8D4" w14:textId="77777777" w:rsidR="006F1DF1" w:rsidRPr="0090370E" w:rsidRDefault="006F1DF1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Equipes projets</w:t>
            </w:r>
          </w:p>
          <w:p w14:paraId="47284F05" w14:textId="4FE52197" w:rsidR="006F1DF1" w:rsidRPr="0090370E" w:rsidRDefault="006F1DF1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Consultants</w:t>
            </w:r>
          </w:p>
          <w:p w14:paraId="0F0FDFD5" w14:textId="21BCFF9F" w:rsidR="0026428A" w:rsidRPr="0090370E" w:rsidRDefault="006F1DF1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Managers et Dirigeants</w:t>
            </w:r>
          </w:p>
        </w:tc>
        <w:tc>
          <w:tcPr>
            <w:tcW w:w="3288" w:type="dxa"/>
          </w:tcPr>
          <w:p w14:paraId="6F0AB2F0" w14:textId="54832A78" w:rsidR="0026428A" w:rsidRPr="0090370E" w:rsidRDefault="0026428A" w:rsidP="00972348">
            <w:pPr>
              <w:spacing w:before="120" w:after="12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Prérequis</w:t>
            </w:r>
          </w:p>
          <w:p w14:paraId="087F82BF" w14:textId="63A46D7C" w:rsidR="0026428A" w:rsidRPr="0090370E" w:rsidRDefault="0026428A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Disposer</w:t>
            </w:r>
            <w:r w:rsidR="001148D2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idéalement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d’au-moins </w:t>
            </w:r>
            <w:r w:rsidR="006F1DF1" w:rsidRPr="0090370E">
              <w:rPr>
                <w:rFonts w:ascii="Candara" w:hAnsi="Candara"/>
                <w:color w:val="1A2E44"/>
                <w:sz w:val="24"/>
                <w:szCs w:val="24"/>
              </w:rPr>
              <w:t>6 mois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d’expérience en commercialisation </w:t>
            </w:r>
            <w:r w:rsidR="00612BA2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de </w:t>
            </w:r>
            <w:r w:rsidR="006F1DF1" w:rsidRPr="0090370E">
              <w:rPr>
                <w:rFonts w:ascii="Candara" w:hAnsi="Candara"/>
                <w:color w:val="1A2E44"/>
                <w:sz w:val="24"/>
                <w:szCs w:val="24"/>
              </w:rPr>
              <w:t>produits et/ou solutions</w:t>
            </w:r>
          </w:p>
          <w:p w14:paraId="1EC7A00C" w14:textId="0624F6AA" w:rsidR="0026428A" w:rsidRPr="0090370E" w:rsidRDefault="0026428A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Connaître les bases de l’offre produits de l’</w:t>
            </w:r>
            <w:r w:rsidR="00931E15" w:rsidRPr="0090370E">
              <w:rPr>
                <w:rFonts w:ascii="Candara" w:hAnsi="Candara"/>
                <w:color w:val="1A2E44"/>
                <w:sz w:val="24"/>
                <w:szCs w:val="24"/>
              </w:rPr>
              <w:t>entreprise</w:t>
            </w:r>
            <w:r w:rsidR="006F1DF1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du participants</w:t>
            </w:r>
          </w:p>
        </w:tc>
        <w:tc>
          <w:tcPr>
            <w:tcW w:w="3288" w:type="dxa"/>
          </w:tcPr>
          <w:p w14:paraId="6B53AAD9" w14:textId="139915B5" w:rsidR="0026428A" w:rsidRPr="0090370E" w:rsidRDefault="0026428A" w:rsidP="00526A94">
            <w:pPr>
              <w:spacing w:before="120" w:after="120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ab/>
            </w:r>
            <w:r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Pédagogie</w:t>
            </w:r>
          </w:p>
          <w:p w14:paraId="03CE3368" w14:textId="7CE867F4" w:rsidR="0026428A" w:rsidRPr="0090370E" w:rsidRDefault="0026428A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Découvertes de modèles </w:t>
            </w:r>
            <w:r w:rsidR="006F1DF1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de vente 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et </w:t>
            </w:r>
            <w:r w:rsidR="007C6C45" w:rsidRPr="0090370E">
              <w:rPr>
                <w:rFonts w:ascii="Candara" w:hAnsi="Candara"/>
                <w:color w:val="1A2E44"/>
                <w:sz w:val="24"/>
                <w:szCs w:val="24"/>
              </w:rPr>
              <w:t>d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 cas concrets</w:t>
            </w:r>
          </w:p>
          <w:p w14:paraId="1896D7E7" w14:textId="77777777" w:rsidR="0026428A" w:rsidRPr="0090370E" w:rsidRDefault="0026428A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Appropriation de méthodes et outils commerciaux</w:t>
            </w:r>
          </w:p>
          <w:p w14:paraId="6DE57874" w14:textId="77777777" w:rsidR="0026428A" w:rsidRPr="0090370E" w:rsidRDefault="0026428A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Réalisation de cas pratiques et jeux de rôle</w:t>
            </w:r>
          </w:p>
          <w:p w14:paraId="174AFB8B" w14:textId="2A5A8ACD" w:rsidR="00EF0F92" w:rsidRPr="0090370E" w:rsidRDefault="0026428A" w:rsidP="00526A94">
            <w:pPr>
              <w:pStyle w:val="Paragraphedeliste"/>
              <w:numPr>
                <w:ilvl w:val="0"/>
                <w:numId w:val="6"/>
              </w:numPr>
              <w:spacing w:before="120"/>
              <w:ind w:left="185" w:hanging="185"/>
              <w:contextualSpacing w:val="0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Elaboration de plans d’action </w:t>
            </w:r>
          </w:p>
        </w:tc>
      </w:tr>
    </w:tbl>
    <w:p w14:paraId="5FA21DDC" w14:textId="77777777" w:rsidR="00B23959" w:rsidRPr="0090370E" w:rsidRDefault="00B23959" w:rsidP="00526A94">
      <w:pPr>
        <w:pBdr>
          <w:bottom w:val="single" w:sz="12" w:space="1" w:color="1A2E44"/>
        </w:pBdr>
        <w:tabs>
          <w:tab w:val="left" w:pos="8370"/>
        </w:tabs>
        <w:spacing w:before="120"/>
        <w:rPr>
          <w:rFonts w:ascii="Candara" w:hAnsi="Candara"/>
          <w:color w:val="1A2E44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1A2E44"/>
        </w:tblBorders>
        <w:tblLook w:val="04A0" w:firstRow="1" w:lastRow="0" w:firstColumn="1" w:lastColumn="0" w:noHBand="0" w:noVBand="1"/>
      </w:tblPr>
      <w:tblGrid>
        <w:gridCol w:w="9628"/>
      </w:tblGrid>
      <w:tr w:rsidR="0090370E" w:rsidRPr="0090370E" w14:paraId="1780E339" w14:textId="77777777" w:rsidTr="00244BFB">
        <w:trPr>
          <w:jc w:val="center"/>
        </w:trPr>
        <w:tc>
          <w:tcPr>
            <w:tcW w:w="9628" w:type="dxa"/>
          </w:tcPr>
          <w:p w14:paraId="78F4F8DC" w14:textId="6CAC52DA" w:rsidR="008E07DB" w:rsidRPr="0090370E" w:rsidRDefault="008E07DB" w:rsidP="000F3C56">
            <w:pPr>
              <w:spacing w:before="120" w:after="36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Objectifs</w:t>
            </w:r>
            <w:r w:rsidR="00905C71"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 xml:space="preserve"> de </w:t>
            </w:r>
            <w:r w:rsidR="00612BA2"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 xml:space="preserve">la </w:t>
            </w:r>
            <w:r w:rsidR="00905C71"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formation</w:t>
            </w:r>
          </w:p>
          <w:p w14:paraId="4F0C589F" w14:textId="220717E4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Maîtriser les étapes de développement commercial</w:t>
            </w:r>
          </w:p>
          <w:p w14:paraId="6ED51B51" w14:textId="77777777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Savoir présenter et valoriser l’entreprise, créer la confiance dans la marque</w:t>
            </w:r>
          </w:p>
          <w:p w14:paraId="3E92AAFF" w14:textId="77777777" w:rsidR="00727D0D" w:rsidRPr="0090370E" w:rsidRDefault="00727D0D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Redécouvrir les notions d’échange et d’écoute avec ses interlocuteurs</w:t>
            </w:r>
          </w:p>
          <w:p w14:paraId="551D4447" w14:textId="7FD08882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Mener une découverte approfondie du client et identifier l’ensemble des enjeux</w:t>
            </w:r>
          </w:p>
          <w:p w14:paraId="5DF93205" w14:textId="0B71D77D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Se positionner en amont des besoins et projets</w:t>
            </w:r>
          </w:p>
          <w:p w14:paraId="467F981B" w14:textId="1ACF284A" w:rsidR="00727D0D" w:rsidRPr="0090370E" w:rsidRDefault="00727D0D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Passer de la « vente </w:t>
            </w:r>
            <w:r w:rsidR="0085338E" w:rsidRPr="0090370E">
              <w:rPr>
                <w:rFonts w:ascii="Candara" w:hAnsi="Candara"/>
                <w:color w:val="1A2E44"/>
                <w:sz w:val="24"/>
                <w:szCs w:val="24"/>
              </w:rPr>
              <w:t>produit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» à la « vente solution »</w:t>
            </w:r>
          </w:p>
          <w:p w14:paraId="4757B758" w14:textId="24E39E10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Evaluer le potentiel et mesurer les forces en présence</w:t>
            </w:r>
          </w:p>
          <w:p w14:paraId="5402ADE3" w14:textId="3CB2C122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Différencier les approches en fonction des tailles et potentiels</w:t>
            </w:r>
          </w:p>
          <w:p w14:paraId="6A4F4E26" w14:textId="77777777" w:rsidR="000F3C56" w:rsidRPr="0090370E" w:rsidRDefault="006F1DF1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Savoir construire une relation partenariale </w:t>
            </w:r>
            <w:r w:rsidR="0013586F" w:rsidRPr="0090370E">
              <w:rPr>
                <w:rFonts w:ascii="Candara" w:hAnsi="Candara"/>
                <w:color w:val="1A2E44"/>
                <w:sz w:val="24"/>
                <w:szCs w:val="24"/>
              </w:rPr>
              <w:t>et pérenne</w:t>
            </w:r>
          </w:p>
          <w:p w14:paraId="22B956F1" w14:textId="7A6D1258" w:rsidR="006F1DF1" w:rsidRPr="0090370E" w:rsidRDefault="000F3C56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Installer une « intimité-client »</w:t>
            </w:r>
          </w:p>
          <w:p w14:paraId="2645A841" w14:textId="636448FA" w:rsidR="0013586F" w:rsidRPr="0090370E" w:rsidRDefault="0085338E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C</w:t>
            </w:r>
            <w:r w:rsidR="0013586F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onstruire une offre commerciale 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réellement qualitative</w:t>
            </w:r>
          </w:p>
          <w:p w14:paraId="1B794CB8" w14:textId="22E72DDF" w:rsidR="00304F1A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Structurer ses actions et ses priorités pour gagner en efficacité</w:t>
            </w:r>
          </w:p>
        </w:tc>
      </w:tr>
      <w:tr w:rsidR="0090370E" w:rsidRPr="0090370E" w14:paraId="7AA8BEDF" w14:textId="77777777" w:rsidTr="00EE2833">
        <w:trPr>
          <w:jc w:val="center"/>
        </w:trPr>
        <w:tc>
          <w:tcPr>
            <w:tcW w:w="9628" w:type="dxa"/>
          </w:tcPr>
          <w:p w14:paraId="20B845E7" w14:textId="3614AF21" w:rsidR="00BA2FEF" w:rsidRPr="0090370E" w:rsidRDefault="00526A94" w:rsidP="000F3C56">
            <w:pPr>
              <w:spacing w:before="120" w:after="36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90370E">
              <w:rPr>
                <w:rFonts w:ascii="Candara" w:hAnsi="Candara"/>
                <w:color w:val="1A2E44"/>
                <w:sz w:val="14"/>
                <w:szCs w:val="14"/>
              </w:rPr>
              <w:lastRenderedPageBreak/>
              <w:br w:type="page"/>
            </w:r>
            <w:r w:rsidR="00612BA2"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Apports aux participants</w:t>
            </w:r>
          </w:p>
          <w:p w14:paraId="688F5FF3" w14:textId="5F60E2D7" w:rsidR="00526A94" w:rsidRPr="0090370E" w:rsidRDefault="00811E0B" w:rsidP="00526A94">
            <w:pPr>
              <w:spacing w:before="120" w:after="160" w:line="259" w:lineRule="auto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Au travers de thématiques complémentaires</w:t>
            </w:r>
            <w:r w:rsidR="00612BA2"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et d’ateliers concrets, vivants et progressifs, </w:t>
            </w:r>
            <w:r w:rsidR="00612BA2" w:rsidRPr="0090370E">
              <w:rPr>
                <w:rFonts w:ascii="Candara" w:hAnsi="Candara"/>
                <w:color w:val="1A2E44"/>
                <w:sz w:val="24"/>
                <w:szCs w:val="24"/>
              </w:rPr>
              <w:t>ces journées de formation vont largement renforcer les capacités commerciales des participants</w:t>
            </w:r>
            <w:r w:rsidR="00526A94" w:rsidRPr="0090370E">
              <w:rPr>
                <w:rFonts w:ascii="Candara" w:hAnsi="Candara"/>
                <w:color w:val="1A2E44"/>
                <w:sz w:val="24"/>
                <w:szCs w:val="24"/>
              </w:rPr>
              <w:t> 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:</w:t>
            </w:r>
          </w:p>
          <w:p w14:paraId="09A2F6EA" w14:textId="77777777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Renforcer la posture et les aptitudes commerciales</w:t>
            </w:r>
          </w:p>
          <w:p w14:paraId="4BE71705" w14:textId="77777777" w:rsidR="0013586F" w:rsidRPr="0090370E" w:rsidRDefault="0013586F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Enraciner durablement des pratiques commerciales solides</w:t>
            </w:r>
          </w:p>
          <w:p w14:paraId="720453A3" w14:textId="3F314CD6" w:rsidR="000F092B" w:rsidRPr="0090370E" w:rsidRDefault="000F092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Cibler une appropriation maximale par les équipes (« enracinement »)</w:t>
            </w:r>
          </w:p>
          <w:p w14:paraId="28A3E939" w14:textId="6B6DFC1D" w:rsidR="000F092B" w:rsidRPr="0090370E" w:rsidRDefault="000F092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Favoriser le pragmatisme, avec des méthodes accessibles et immédiatement transposables dans le quotidien</w:t>
            </w:r>
          </w:p>
          <w:p w14:paraId="615672F4" w14:textId="0ABA97EE" w:rsidR="000F092B" w:rsidRPr="0090370E" w:rsidRDefault="000F092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Transmettre des outils directement utiles</w:t>
            </w:r>
          </w:p>
          <w:p w14:paraId="1FD2591B" w14:textId="75D2856D" w:rsidR="000F092B" w:rsidRPr="0090370E" w:rsidRDefault="000F092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Cibler une application immédiate dès la fin de la formation</w:t>
            </w:r>
          </w:p>
          <w:p w14:paraId="01B9BBBD" w14:textId="6E4A49DF" w:rsidR="000F092B" w:rsidRPr="0090370E" w:rsidRDefault="000F092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Favoriser le développement de </w:t>
            </w:r>
            <w:r w:rsidR="004831AF" w:rsidRPr="0090370E">
              <w:rPr>
                <w:rFonts w:ascii="Candara" w:hAnsi="Candara"/>
                <w:color w:val="1A2E44"/>
                <w:sz w:val="24"/>
                <w:szCs w:val="24"/>
              </w:rPr>
              <w:t>chacun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dans ses propres capacités commerciales</w:t>
            </w:r>
          </w:p>
          <w:p w14:paraId="76906863" w14:textId="1EF02EE0" w:rsidR="00C04634" w:rsidRPr="0090370E" w:rsidRDefault="00C04634" w:rsidP="00526A94">
            <w:pPr>
              <w:spacing w:before="24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Une approche à la fois concrète, pragmatique et expérientielle</w:t>
            </w:r>
            <w:r w:rsidR="0032314B" w:rsidRPr="0090370E">
              <w:rPr>
                <w:rFonts w:ascii="Candara" w:hAnsi="Candara"/>
                <w:color w:val="1A2E44"/>
                <w:sz w:val="24"/>
                <w:szCs w:val="24"/>
              </w:rPr>
              <w:t>, qui</w:t>
            </w: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 xml:space="preserve"> sera à même d’enraciner durablement les meilleures réflexes business et les meilleures postures commerciales au sein des équipes.</w:t>
            </w:r>
          </w:p>
          <w:p w14:paraId="6BD58DAB" w14:textId="76BEAAD1" w:rsidR="003F5AEA" w:rsidRPr="0090370E" w:rsidRDefault="003F5AEA" w:rsidP="003F5AEA">
            <w:pPr>
              <w:rPr>
                <w:rFonts w:ascii="Candara" w:hAnsi="Candara"/>
                <w:color w:val="1A2E44"/>
                <w:sz w:val="24"/>
                <w:szCs w:val="24"/>
              </w:rPr>
            </w:pPr>
          </w:p>
        </w:tc>
      </w:tr>
      <w:tr w:rsidR="00612BA2" w:rsidRPr="0090370E" w14:paraId="4FDA4FCD" w14:textId="77777777" w:rsidTr="00EE2833">
        <w:trPr>
          <w:jc w:val="center"/>
        </w:trPr>
        <w:tc>
          <w:tcPr>
            <w:tcW w:w="9628" w:type="dxa"/>
          </w:tcPr>
          <w:p w14:paraId="3A5E3114" w14:textId="77777777" w:rsidR="00612BA2" w:rsidRPr="0090370E" w:rsidRDefault="00612BA2" w:rsidP="00612BA2">
            <w:pPr>
              <w:pBdr>
                <w:bottom w:val="single" w:sz="12" w:space="1" w:color="1A2E44"/>
              </w:pBdr>
              <w:tabs>
                <w:tab w:val="left" w:pos="8370"/>
              </w:tabs>
              <w:spacing w:after="160"/>
              <w:rPr>
                <w:rFonts w:ascii="Candara" w:hAnsi="Candara"/>
                <w:color w:val="1A2E44"/>
                <w:sz w:val="14"/>
                <w:szCs w:val="14"/>
              </w:rPr>
            </w:pPr>
          </w:p>
          <w:p w14:paraId="6784E58A" w14:textId="75274661" w:rsidR="00612BA2" w:rsidRPr="0090370E" w:rsidRDefault="00612BA2" w:rsidP="000F3C56">
            <w:pPr>
              <w:spacing w:before="120" w:after="360"/>
              <w:jc w:val="center"/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</w:pPr>
            <w:r w:rsidRPr="0090370E">
              <w:rPr>
                <w:rFonts w:ascii="Candara" w:hAnsi="Candara"/>
                <w:b/>
                <w:bCs/>
                <w:color w:val="1A2E44"/>
                <w:sz w:val="28"/>
                <w:szCs w:val="28"/>
              </w:rPr>
              <w:t>Méthode pédagogique</w:t>
            </w:r>
          </w:p>
          <w:p w14:paraId="04127945" w14:textId="3596D5FF" w:rsidR="00612BA2" w:rsidRPr="0090370E" w:rsidRDefault="00612BA2" w:rsidP="00526A94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Cette formation sera organisée et animée autour de nombreuses séquences, dont le rythme et la variété préservent une réelle dynamique malgré l’intensité des informations partagées :</w:t>
            </w:r>
          </w:p>
          <w:p w14:paraId="53C30D67" w14:textId="77777777" w:rsidR="00612BA2" w:rsidRPr="0090370E" w:rsidRDefault="00612BA2" w:rsidP="00526A94">
            <w:pPr>
              <w:pStyle w:val="Paragraphedeliste"/>
              <w:numPr>
                <w:ilvl w:val="0"/>
                <w:numId w:val="6"/>
              </w:numPr>
              <w:spacing w:before="240"/>
              <w:ind w:left="1060" w:hanging="703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De courtes séquences de formation vivantes et dans une logique de progression (fil conducteur)</w:t>
            </w:r>
          </w:p>
          <w:p w14:paraId="13578C8C" w14:textId="77777777" w:rsidR="0032314B" w:rsidRPr="0090370E" w:rsidRDefault="00612BA2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De nombreux ateliers et jeux de rôle en sous-groupes tout au long de la journée</w:t>
            </w:r>
          </w:p>
          <w:p w14:paraId="7CE6113D" w14:textId="403C6922" w:rsidR="00612BA2" w:rsidRDefault="0032314B" w:rsidP="00526A94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90370E">
              <w:rPr>
                <w:rFonts w:ascii="Candara" w:hAnsi="Candara"/>
                <w:color w:val="1A2E44"/>
                <w:sz w:val="24"/>
                <w:szCs w:val="24"/>
              </w:rPr>
              <w:t>D</w:t>
            </w:r>
            <w:r w:rsidR="00612BA2" w:rsidRPr="0090370E">
              <w:rPr>
                <w:rFonts w:ascii="Candara" w:hAnsi="Candara"/>
                <w:color w:val="1A2E44"/>
                <w:sz w:val="24"/>
                <w:szCs w:val="24"/>
              </w:rPr>
              <w:t>es exercices à la fois pratiques et courts, centrés sur des thématiques et des cas précis en lien avec le fil conducteur, incluant des scénarios et des cas business concrets</w:t>
            </w:r>
          </w:p>
          <w:p w14:paraId="5F49B1BB" w14:textId="77777777" w:rsidR="0070580E" w:rsidRPr="0070580E" w:rsidRDefault="0070580E" w:rsidP="0070580E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A l’issue de la formation, 2 évaluations sont réalisées :</w:t>
            </w:r>
          </w:p>
          <w:p w14:paraId="3ACCA5BA" w14:textId="4CA3011C" w:rsidR="0070580E" w:rsidRPr="0098238C" w:rsidRDefault="0070580E" w:rsidP="0098238C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Une auto évaluation « à chaud » sous forme de « feuille de route » individuelle</w:t>
            </w:r>
            <w:r w:rsidR="0098238C"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98238C">
              <w:rPr>
                <w:rFonts w:ascii="Candara" w:hAnsi="Candara"/>
                <w:color w:val="1A2E44"/>
                <w:sz w:val="24"/>
                <w:szCs w:val="24"/>
              </w:rPr>
              <w:t>réalisée par chaque apprenant et pouvant donner lieu à un échange post-formation</w:t>
            </w:r>
            <w:r w:rsidR="0098238C" w:rsidRPr="0098238C"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98238C">
              <w:rPr>
                <w:rFonts w:ascii="Candara" w:hAnsi="Candara"/>
                <w:color w:val="1A2E44"/>
                <w:sz w:val="24"/>
                <w:szCs w:val="24"/>
              </w:rPr>
              <w:t>avec le consultant-formateur</w:t>
            </w:r>
          </w:p>
          <w:p w14:paraId="5E07C4E5" w14:textId="00D16DD8" w:rsidR="0070580E" w:rsidRDefault="0070580E" w:rsidP="0098238C">
            <w:pPr>
              <w:pStyle w:val="Paragraphedeliste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Une évaluation globale de la formation, réalisée volontairement « à froid » dans les</w:t>
            </w:r>
            <w:r w:rsidR="0098238C"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98238C">
              <w:rPr>
                <w:rFonts w:ascii="Candara" w:hAnsi="Candara"/>
                <w:color w:val="1A2E44"/>
                <w:sz w:val="24"/>
                <w:szCs w:val="24"/>
              </w:rPr>
              <w:t>10 jours suivant la formation</w:t>
            </w:r>
          </w:p>
          <w:p w14:paraId="5E98898C" w14:textId="7971836D" w:rsidR="005E5F5C" w:rsidRPr="00166764" w:rsidRDefault="00166764" w:rsidP="00166764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166764">
              <w:rPr>
                <w:rFonts w:ascii="Candara" w:hAnsi="Candara"/>
                <w:color w:val="1A2E44"/>
                <w:sz w:val="24"/>
                <w:szCs w:val="24"/>
              </w:rPr>
              <w:t>Aucune modalité  spécifique d'accès à cette formation.</w:t>
            </w:r>
          </w:p>
          <w:p w14:paraId="76F27E0A" w14:textId="625B589C" w:rsidR="00612BA2" w:rsidRPr="0098238C" w:rsidRDefault="0070580E" w:rsidP="0098238C">
            <w:pPr>
              <w:spacing w:before="120"/>
              <w:jc w:val="both"/>
              <w:rPr>
                <w:rFonts w:ascii="Candara" w:hAnsi="Candara"/>
                <w:color w:val="1A2E44"/>
                <w:sz w:val="24"/>
                <w:szCs w:val="24"/>
              </w:rPr>
            </w:pP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Cette formation est accessible aux personnes handicapées ; nous vous invitons à nou</w:t>
            </w:r>
            <w:r w:rsidR="0098238C">
              <w:rPr>
                <w:rFonts w:ascii="Candara" w:hAnsi="Candara"/>
                <w:color w:val="1A2E44"/>
                <w:sz w:val="24"/>
                <w:szCs w:val="24"/>
              </w:rPr>
              <w:t xml:space="preserve">s </w:t>
            </w: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contacter. Avec l’aide de notre référent handicap nous serons en mesure d’identifier les</w:t>
            </w:r>
            <w:r w:rsidR="0098238C">
              <w:rPr>
                <w:rFonts w:ascii="Candara" w:hAnsi="Candara"/>
                <w:color w:val="1A2E44"/>
                <w:sz w:val="24"/>
                <w:szCs w:val="24"/>
              </w:rPr>
              <w:t xml:space="preserve"> </w:t>
            </w:r>
            <w:r w:rsidRPr="0070580E">
              <w:rPr>
                <w:rFonts w:ascii="Candara" w:hAnsi="Candara"/>
                <w:color w:val="1A2E44"/>
                <w:sz w:val="24"/>
                <w:szCs w:val="24"/>
              </w:rPr>
              <w:t>ajustements ou adaptations nécessaires à prendre en compte dans notre animation.</w:t>
            </w:r>
          </w:p>
        </w:tc>
      </w:tr>
    </w:tbl>
    <w:p w14:paraId="13DC3E27" w14:textId="53FFB637" w:rsidR="00526A94" w:rsidRDefault="00526A94">
      <w:pPr>
        <w:rPr>
          <w:rFonts w:ascii="Candara" w:hAnsi="Candara"/>
          <w:sz w:val="12"/>
          <w:szCs w:val="12"/>
        </w:rPr>
      </w:pPr>
      <w:r>
        <w:rPr>
          <w:rFonts w:ascii="Candara" w:hAnsi="Candara"/>
          <w:sz w:val="12"/>
          <w:szCs w:val="12"/>
        </w:rPr>
        <w:br w:type="page"/>
      </w:r>
    </w:p>
    <w:p w14:paraId="619CA10F" w14:textId="77777777" w:rsidR="009A0D35" w:rsidRPr="0090370E" w:rsidRDefault="009A0D35" w:rsidP="009A0D35">
      <w:pPr>
        <w:pBdr>
          <w:bottom w:val="single" w:sz="12" w:space="1" w:color="1A2E44"/>
        </w:pBdr>
        <w:tabs>
          <w:tab w:val="left" w:pos="8370"/>
        </w:tabs>
        <w:rPr>
          <w:rFonts w:ascii="Candara" w:hAnsi="Candara"/>
          <w:color w:val="1A2E44"/>
          <w:sz w:val="12"/>
          <w:szCs w:val="12"/>
        </w:rPr>
      </w:pPr>
      <w:bookmarkStart w:id="1" w:name="_Hlk165898087"/>
    </w:p>
    <w:bookmarkEnd w:id="1"/>
    <w:p w14:paraId="26B86E1B" w14:textId="2B1E64EE" w:rsidR="00491429" w:rsidRPr="0090370E" w:rsidRDefault="00C16C42" w:rsidP="00491429">
      <w:pPr>
        <w:jc w:val="center"/>
        <w:rPr>
          <w:rFonts w:ascii="Candara" w:hAnsi="Candara"/>
          <w:b/>
          <w:bCs/>
          <w:color w:val="1A2E44"/>
          <w:sz w:val="28"/>
          <w:szCs w:val="28"/>
        </w:rPr>
      </w:pPr>
      <w:r w:rsidRPr="0090370E">
        <w:rPr>
          <w:rFonts w:ascii="Candara" w:hAnsi="Candara"/>
          <w:b/>
          <w:bCs/>
          <w:color w:val="1A2E44"/>
          <w:sz w:val="28"/>
          <w:szCs w:val="28"/>
        </w:rPr>
        <w:t>Programme</w:t>
      </w:r>
    </w:p>
    <w:p w14:paraId="6DF13892" w14:textId="77777777" w:rsidR="006D3E96" w:rsidRPr="0090370E" w:rsidRDefault="006D3E96" w:rsidP="006D3E96">
      <w:pPr>
        <w:spacing w:after="240"/>
        <w:rPr>
          <w:rFonts w:ascii="Candara" w:hAnsi="Candara"/>
          <w:b/>
          <w:color w:val="1A2E44"/>
          <w:sz w:val="2"/>
          <w:szCs w:val="2"/>
        </w:rPr>
      </w:pPr>
    </w:p>
    <w:p w14:paraId="109C1667" w14:textId="77777777" w:rsidR="00262EA8" w:rsidRPr="0090370E" w:rsidRDefault="00262EA8" w:rsidP="006D3E96">
      <w:pPr>
        <w:spacing w:after="240"/>
        <w:rPr>
          <w:rFonts w:ascii="Candara" w:hAnsi="Candara"/>
          <w:b/>
          <w:color w:val="1A2E44"/>
          <w:sz w:val="2"/>
          <w:szCs w:val="2"/>
        </w:rPr>
        <w:sectPr w:rsidR="00262EA8" w:rsidRPr="0090370E" w:rsidSect="00AA35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983" w:right="1134" w:bottom="1560" w:left="1134" w:header="709" w:footer="425" w:gutter="0"/>
          <w:cols w:space="708"/>
          <w:titlePg/>
          <w:docGrid w:linePitch="360"/>
        </w:sectPr>
      </w:pPr>
    </w:p>
    <w:p w14:paraId="4F1415A7" w14:textId="67C6258A" w:rsidR="006D3E96" w:rsidRPr="0090370E" w:rsidRDefault="006D3E96" w:rsidP="006D3E96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/>
          <w:b/>
          <w:bCs/>
          <w:color w:val="1A2E44"/>
        </w:rPr>
      </w:pPr>
      <w:bookmarkStart w:id="2" w:name="_Hlk165886215"/>
      <w:r w:rsidRPr="0090370E">
        <w:rPr>
          <w:rFonts w:ascii="Candara" w:hAnsi="Candara"/>
          <w:b/>
          <w:bCs/>
          <w:color w:val="1A2E44"/>
        </w:rPr>
        <w:t>A</w:t>
      </w:r>
      <w:r w:rsidR="00972348" w:rsidRPr="0090370E">
        <w:rPr>
          <w:rFonts w:ascii="Candara" w:hAnsi="Candara"/>
          <w:b/>
          <w:bCs/>
          <w:color w:val="1A2E44"/>
        </w:rPr>
        <w:t>P</w:t>
      </w:r>
      <w:r w:rsidRPr="0090370E">
        <w:rPr>
          <w:rFonts w:ascii="Candara" w:hAnsi="Candara"/>
          <w:b/>
          <w:bCs/>
          <w:color w:val="1A2E44"/>
        </w:rPr>
        <w:t>PROCHE CLIENT</w:t>
      </w:r>
    </w:p>
    <w:p w14:paraId="2F846614" w14:textId="77777777" w:rsidR="006D3E96" w:rsidRPr="0090370E" w:rsidRDefault="006D3E96" w:rsidP="006D3E96">
      <w:pPr>
        <w:rPr>
          <w:rFonts w:ascii="Candara" w:hAnsi="Candara"/>
          <w:color w:val="1A2E44"/>
          <w:sz w:val="4"/>
          <w:szCs w:val="4"/>
        </w:rPr>
      </w:pPr>
    </w:p>
    <w:bookmarkEnd w:id="2"/>
    <w:p w14:paraId="68B6E018" w14:textId="3A786A91" w:rsidR="00606086" w:rsidRPr="0098238C" w:rsidRDefault="00606086" w:rsidP="006D3E9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Savoir présenter et valoriser l’entreprise</w:t>
      </w:r>
    </w:p>
    <w:p w14:paraId="3AC36EA0" w14:textId="42C42DD4" w:rsidR="003F5AEA" w:rsidRPr="0098238C" w:rsidRDefault="003F5AEA" w:rsidP="003F5AEA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>Maîtriser l’</w:t>
      </w:r>
      <w:proofErr w:type="spellStart"/>
      <w:r w:rsidRPr="0098238C">
        <w:rPr>
          <w:rFonts w:ascii="Candara" w:hAnsi="Candara"/>
          <w:bCs/>
          <w:color w:val="FFFFFF" w:themeColor="background1"/>
        </w:rPr>
        <w:t>elevator</w:t>
      </w:r>
      <w:proofErr w:type="spellEnd"/>
      <w:r w:rsidRPr="0098238C">
        <w:rPr>
          <w:rFonts w:ascii="Candara" w:hAnsi="Candara"/>
          <w:bCs/>
          <w:color w:val="FFFFFF" w:themeColor="background1"/>
        </w:rPr>
        <w:t xml:space="preserve"> pitch</w:t>
      </w:r>
    </w:p>
    <w:p w14:paraId="6DC6E1D9" w14:textId="673EE60A" w:rsidR="003F5AEA" w:rsidRPr="0098238C" w:rsidRDefault="0029667E" w:rsidP="003F5AEA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 xml:space="preserve">Intégrer des arguments clés </w:t>
      </w:r>
    </w:p>
    <w:p w14:paraId="2B0C5B02" w14:textId="5BE248AD" w:rsidR="0029667E" w:rsidRPr="0098238C" w:rsidRDefault="0029667E" w:rsidP="003F5AEA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>Gagner en confiance et développer la fierté</w:t>
      </w:r>
    </w:p>
    <w:p w14:paraId="213CAE36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4ABFE01F" w14:textId="77777777" w:rsidR="00606086" w:rsidRPr="0098238C" w:rsidRDefault="00606086" w:rsidP="00BA3032">
      <w:pPr>
        <w:spacing w:after="0"/>
        <w:rPr>
          <w:rFonts w:ascii="Candara" w:hAnsi="Candara"/>
          <w:color w:val="FFFFFF" w:themeColor="background1"/>
        </w:rPr>
      </w:pPr>
    </w:p>
    <w:p w14:paraId="647D0A51" w14:textId="69113F58" w:rsidR="0029667E" w:rsidRPr="0098238C" w:rsidRDefault="00E74F4E" w:rsidP="0029667E">
      <w:pPr>
        <w:shd w:val="clear" w:color="auto" w:fill="1A2E44"/>
        <w:jc w:val="both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b/>
          <w:bCs/>
          <w:color w:val="FFFFFF" w:themeColor="background1"/>
        </w:rPr>
        <w:t>Savoir m</w:t>
      </w:r>
      <w:r w:rsidR="00BE7D29" w:rsidRPr="0098238C">
        <w:rPr>
          <w:rFonts w:ascii="Candara" w:hAnsi="Candara"/>
          <w:b/>
          <w:bCs/>
          <w:color w:val="FFFFFF" w:themeColor="background1"/>
        </w:rPr>
        <w:t>ener une découverte approfondie du client</w:t>
      </w:r>
    </w:p>
    <w:p w14:paraId="2C01BF30" w14:textId="5CB8B71E" w:rsidR="0029667E" w:rsidRPr="0098238C" w:rsidRDefault="00BE7D29" w:rsidP="0029667E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>Préparer son RDV</w:t>
      </w:r>
    </w:p>
    <w:p w14:paraId="0D008D3B" w14:textId="77777777" w:rsidR="00526A94" w:rsidRPr="0098238C" w:rsidRDefault="00BE7D29" w:rsidP="00AA7A84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 xml:space="preserve">Savoir </w:t>
      </w:r>
      <w:r w:rsidR="00526A94" w:rsidRPr="0098238C">
        <w:rPr>
          <w:rFonts w:ascii="Candara" w:hAnsi="Candara"/>
          <w:bCs/>
          <w:color w:val="FFFFFF" w:themeColor="background1"/>
        </w:rPr>
        <w:t>écouter</w:t>
      </w:r>
    </w:p>
    <w:p w14:paraId="258D8673" w14:textId="58B6F5CA" w:rsidR="00526A94" w:rsidRPr="0098238C" w:rsidRDefault="00526A94" w:rsidP="00013544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 xml:space="preserve">Savoir </w:t>
      </w:r>
      <w:r w:rsidR="00BE7D29" w:rsidRPr="0098238C">
        <w:rPr>
          <w:rFonts w:ascii="Candara" w:hAnsi="Candara"/>
          <w:bCs/>
          <w:color w:val="FFFFFF" w:themeColor="background1"/>
        </w:rPr>
        <w:t>questionner</w:t>
      </w:r>
      <w:r w:rsidRPr="0098238C">
        <w:rPr>
          <w:rFonts w:ascii="Candara" w:hAnsi="Candara"/>
          <w:bCs/>
          <w:color w:val="FFFFFF" w:themeColor="background1"/>
        </w:rPr>
        <w:t xml:space="preserve"> </w:t>
      </w:r>
      <w:r w:rsidR="00E74F4E" w:rsidRPr="0098238C">
        <w:rPr>
          <w:rFonts w:ascii="Candara" w:hAnsi="Candara"/>
          <w:bCs/>
          <w:color w:val="FFFFFF" w:themeColor="background1"/>
        </w:rPr>
        <w:t>et rebondir</w:t>
      </w:r>
      <w:r w:rsidRPr="0098238C">
        <w:rPr>
          <w:rFonts w:ascii="Candara" w:hAnsi="Candara"/>
          <w:bCs/>
          <w:color w:val="FFFFFF" w:themeColor="background1"/>
        </w:rPr>
        <w:t xml:space="preserve"> </w:t>
      </w:r>
    </w:p>
    <w:p w14:paraId="7211A838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08714D0C" w14:textId="77777777" w:rsidR="006D3E96" w:rsidRPr="0098238C" w:rsidRDefault="006D3E96" w:rsidP="006D3E96">
      <w:pPr>
        <w:shd w:val="clear" w:color="auto" w:fill="FFFFFF" w:themeFill="background1"/>
        <w:spacing w:after="60"/>
        <w:rPr>
          <w:rFonts w:ascii="Candara" w:hAnsi="Candara"/>
          <w:color w:val="FFFFFF" w:themeColor="background1"/>
        </w:rPr>
      </w:pPr>
    </w:p>
    <w:p w14:paraId="7DA579F5" w14:textId="77777777" w:rsidR="006D3E96" w:rsidRPr="0098238C" w:rsidRDefault="006D3E96" w:rsidP="006D3E9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Tisser des liens et « rayonner » chez le client</w:t>
      </w:r>
    </w:p>
    <w:p w14:paraId="50449979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Approcher les interlocuteurs avec pertinence</w:t>
      </w:r>
    </w:p>
    <w:p w14:paraId="72C09F54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Identifier la bonne posture pour instaurer relation et confiance</w:t>
      </w:r>
    </w:p>
    <w:p w14:paraId="62AD5AB1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 xml:space="preserve">Accroître l’intimité-client </w:t>
      </w:r>
    </w:p>
    <w:p w14:paraId="10E6BCE4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2F7D17D6" w14:textId="77777777" w:rsidR="006D3E96" w:rsidRPr="0098238C" w:rsidRDefault="006D3E96" w:rsidP="006D3E96">
      <w:pPr>
        <w:spacing w:after="0"/>
        <w:rPr>
          <w:rFonts w:ascii="Candara" w:hAnsi="Candara"/>
          <w:color w:val="FFFFFF" w:themeColor="background1"/>
        </w:rPr>
      </w:pPr>
    </w:p>
    <w:p w14:paraId="6D0836EB" w14:textId="77777777" w:rsidR="006D3E96" w:rsidRPr="0098238C" w:rsidRDefault="006D3E96" w:rsidP="006D3E9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Se positionner en amont des besoins et projets</w:t>
      </w:r>
    </w:p>
    <w:p w14:paraId="6F2FCED4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Remonter dans la chaine de décision</w:t>
      </w:r>
    </w:p>
    <w:p w14:paraId="60A86425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0F811802" w14:textId="77777777" w:rsidR="00262EA8" w:rsidRPr="0098238C" w:rsidRDefault="00262EA8" w:rsidP="00262EA8">
      <w:pPr>
        <w:shd w:val="clear" w:color="auto" w:fill="FFFFFF" w:themeFill="background1"/>
        <w:spacing w:after="0"/>
        <w:rPr>
          <w:rFonts w:ascii="Candara" w:hAnsi="Candara"/>
          <w:bCs/>
          <w:color w:val="FFFFFF" w:themeColor="background1"/>
        </w:rPr>
      </w:pPr>
    </w:p>
    <w:p w14:paraId="0A50B59F" w14:textId="55545C9E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Evaluer le potentiel et mesurer les forces en présence</w:t>
      </w:r>
    </w:p>
    <w:p w14:paraId="4D3AE395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</w:p>
    <w:p w14:paraId="65FF6A13" w14:textId="77777777" w:rsidR="006D3E96" w:rsidRPr="0098238C" w:rsidRDefault="006D3E96" w:rsidP="006D3E9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Passer de la « vente catalogue » à la « vente solution »</w:t>
      </w:r>
    </w:p>
    <w:p w14:paraId="129556FD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Capter l’ensemble des enjeux client</w:t>
      </w:r>
    </w:p>
    <w:p w14:paraId="1C38A7DE" w14:textId="020BBAC3" w:rsidR="00262EA8" w:rsidRPr="0098238C" w:rsidRDefault="006D3E96" w:rsidP="00262EA8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Se positionner dans une logique globale</w:t>
      </w:r>
    </w:p>
    <w:p w14:paraId="3CA6324E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5709BA86" w14:textId="77777777" w:rsidR="006D3E96" w:rsidRPr="0098238C" w:rsidRDefault="006D3E96" w:rsidP="006D3E96">
      <w:pPr>
        <w:pStyle w:val="Paragraphedeliste"/>
        <w:rPr>
          <w:rFonts w:ascii="Candara" w:hAnsi="Candara"/>
          <w:color w:val="FFFFFF" w:themeColor="background1"/>
        </w:rPr>
      </w:pPr>
    </w:p>
    <w:p w14:paraId="2B458C95" w14:textId="77777777" w:rsidR="006D3E96" w:rsidRPr="0098238C" w:rsidRDefault="006D3E96" w:rsidP="006D3E96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Valoriser et créer la confiance dans la marque</w:t>
      </w:r>
    </w:p>
    <w:p w14:paraId="262F0B2B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Argumentation</w:t>
      </w:r>
    </w:p>
    <w:p w14:paraId="75CC3EB2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Négociation</w:t>
      </w:r>
    </w:p>
    <w:p w14:paraId="378E16D8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Défendre ses marges</w:t>
      </w:r>
    </w:p>
    <w:p w14:paraId="610F30C3" w14:textId="77777777" w:rsidR="006D3E96" w:rsidRPr="0098238C" w:rsidRDefault="006D3E96" w:rsidP="006D3E96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Point de rupture</w:t>
      </w:r>
    </w:p>
    <w:p w14:paraId="35ADC9F3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1ECE8FF2" w14:textId="77777777" w:rsidR="006D3E96" w:rsidRPr="0090370E" w:rsidRDefault="006D3E96" w:rsidP="006D3E96">
      <w:pPr>
        <w:pStyle w:val="Paragraphedeliste"/>
        <w:rPr>
          <w:rFonts w:ascii="Candara" w:hAnsi="Candara"/>
          <w:color w:val="1A2E44"/>
        </w:rPr>
      </w:pPr>
    </w:p>
    <w:p w14:paraId="50F99E7B" w14:textId="77777777" w:rsidR="00262EA8" w:rsidRPr="0090370E" w:rsidRDefault="00262EA8" w:rsidP="006D3E96">
      <w:pPr>
        <w:pStyle w:val="Paragraphedeliste"/>
        <w:rPr>
          <w:rFonts w:ascii="Candara" w:hAnsi="Candara"/>
          <w:color w:val="1A2E44"/>
        </w:rPr>
      </w:pPr>
    </w:p>
    <w:p w14:paraId="15783FF0" w14:textId="48422471" w:rsidR="006D3E96" w:rsidRPr="0090370E" w:rsidRDefault="00262EA8" w:rsidP="006D3E96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/>
          <w:b/>
          <w:bCs/>
          <w:color w:val="1A2E44"/>
        </w:rPr>
      </w:pPr>
      <w:r w:rsidRPr="0090370E">
        <w:rPr>
          <w:rFonts w:ascii="Candara" w:hAnsi="Candara"/>
          <w:b/>
          <w:bCs/>
          <w:color w:val="1A2E44"/>
        </w:rPr>
        <w:t>M</w:t>
      </w:r>
      <w:r w:rsidR="000F3C56" w:rsidRPr="0090370E">
        <w:rPr>
          <w:rFonts w:ascii="Candara" w:hAnsi="Candara"/>
          <w:b/>
          <w:bCs/>
          <w:color w:val="1A2E44"/>
        </w:rPr>
        <w:t>É</w:t>
      </w:r>
      <w:r w:rsidRPr="0090370E">
        <w:rPr>
          <w:rFonts w:ascii="Candara" w:hAnsi="Candara"/>
          <w:b/>
          <w:bCs/>
          <w:color w:val="1A2E44"/>
        </w:rPr>
        <w:t>THODE</w:t>
      </w:r>
    </w:p>
    <w:p w14:paraId="41399C80" w14:textId="77777777" w:rsidR="006D3E96" w:rsidRPr="0090370E" w:rsidRDefault="006D3E96" w:rsidP="006D3E96">
      <w:pPr>
        <w:rPr>
          <w:rFonts w:ascii="Candara" w:hAnsi="Candara"/>
          <w:color w:val="1A2E44"/>
          <w:sz w:val="4"/>
          <w:szCs w:val="4"/>
        </w:rPr>
      </w:pPr>
    </w:p>
    <w:p w14:paraId="3DDE8BFD" w14:textId="1FF79CDD" w:rsidR="00B21CC9" w:rsidRPr="0098238C" w:rsidRDefault="00F8701A" w:rsidP="00396CD0">
      <w:pPr>
        <w:shd w:val="clear" w:color="auto" w:fill="1A2E44"/>
        <w:rPr>
          <w:rFonts w:ascii="Candara" w:hAnsi="Candara"/>
          <w:b/>
          <w:color w:val="FFFFFF" w:themeColor="background1"/>
        </w:rPr>
      </w:pPr>
      <w:r w:rsidRPr="00026DD1">
        <w:rPr>
          <w:rFonts w:ascii="Candara" w:hAnsi="Candara"/>
          <w:b/>
          <w:color w:val="FFFFFF" w:themeColor="background1"/>
        </w:rPr>
        <w:t>Appréhender les étapes</w:t>
      </w:r>
      <w:r w:rsidR="00DD285D" w:rsidRPr="00026DD1">
        <w:rPr>
          <w:rFonts w:ascii="Candara" w:hAnsi="Candara"/>
          <w:b/>
          <w:color w:val="FFFFFF" w:themeColor="background1"/>
        </w:rPr>
        <w:t xml:space="preserve"> </w:t>
      </w:r>
      <w:r w:rsidR="00E74F4E" w:rsidRPr="00026DD1">
        <w:rPr>
          <w:rFonts w:ascii="Candara" w:hAnsi="Candara"/>
          <w:b/>
          <w:color w:val="FFFFFF" w:themeColor="background1"/>
        </w:rPr>
        <w:t>clés du</w:t>
      </w:r>
      <w:r w:rsidR="003F5AEA" w:rsidRPr="00026DD1">
        <w:rPr>
          <w:rFonts w:ascii="Candara" w:hAnsi="Candara"/>
          <w:b/>
          <w:color w:val="FFFFFF" w:themeColor="background1"/>
        </w:rPr>
        <w:t xml:space="preserve"> déve</w:t>
      </w:r>
      <w:r w:rsidR="003F5AEA" w:rsidRPr="0098238C">
        <w:rPr>
          <w:rFonts w:ascii="Candara" w:hAnsi="Candara"/>
          <w:b/>
          <w:color w:val="FFFFFF" w:themeColor="background1"/>
        </w:rPr>
        <w:t>loppement commercial</w:t>
      </w:r>
    </w:p>
    <w:p w14:paraId="5D986D35" w14:textId="604050FF" w:rsidR="00DD285D" w:rsidRPr="0098238C" w:rsidRDefault="003F5AEA" w:rsidP="00DD285D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>Appréhender les étapes de la vente</w:t>
      </w:r>
    </w:p>
    <w:p w14:paraId="0F150B73" w14:textId="4360EAE2" w:rsidR="00E36B91" w:rsidRPr="0098238C" w:rsidRDefault="003F5AEA" w:rsidP="0012763B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>Etablir un ordre des priorités</w:t>
      </w:r>
    </w:p>
    <w:p w14:paraId="72EFBBE1" w14:textId="0FF8655A" w:rsidR="0029667E" w:rsidRPr="0098238C" w:rsidRDefault="00E74F4E" w:rsidP="00E74F4E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Savoir f</w:t>
      </w:r>
      <w:r w:rsidR="003F5AEA" w:rsidRPr="0098238C">
        <w:rPr>
          <w:rFonts w:ascii="Candara" w:hAnsi="Candara"/>
          <w:color w:val="FFFFFF" w:themeColor="background1"/>
        </w:rPr>
        <w:t>aire un état des lieu</w:t>
      </w:r>
      <w:r w:rsidRPr="0098238C">
        <w:rPr>
          <w:rFonts w:ascii="Candara" w:hAnsi="Candara"/>
          <w:color w:val="FFFFFF" w:themeColor="background1"/>
        </w:rPr>
        <w:t>x</w:t>
      </w:r>
    </w:p>
    <w:p w14:paraId="0248414F" w14:textId="06624B6B" w:rsidR="0029667E" w:rsidRPr="0098238C" w:rsidRDefault="00FD58E8" w:rsidP="00B21CC9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bCs/>
          <w:color w:val="FFFFFF" w:themeColor="background1"/>
        </w:rPr>
      </w:pPr>
      <w:r w:rsidRPr="0098238C">
        <w:rPr>
          <w:rFonts w:ascii="Candara" w:hAnsi="Candara"/>
          <w:bCs/>
          <w:color w:val="FFFFFF" w:themeColor="background1"/>
        </w:rPr>
        <w:t xml:space="preserve">Faire un état des lieux des forces et des faiblesses </w:t>
      </w:r>
    </w:p>
    <w:p w14:paraId="4DC8C817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Cs/>
          <w:color w:val="FFFFFF" w:themeColor="background1"/>
        </w:rPr>
      </w:pPr>
    </w:p>
    <w:p w14:paraId="6A3EB5E2" w14:textId="77777777" w:rsidR="00262EA8" w:rsidRPr="0098238C" w:rsidRDefault="00262EA8" w:rsidP="00262EA8">
      <w:pPr>
        <w:pStyle w:val="Paragraphedeliste"/>
        <w:rPr>
          <w:rFonts w:ascii="Candara" w:hAnsi="Candara"/>
          <w:color w:val="FFFFFF" w:themeColor="background1"/>
        </w:rPr>
      </w:pPr>
    </w:p>
    <w:p w14:paraId="74DD8AE5" w14:textId="77777777" w:rsidR="00262EA8" w:rsidRPr="0098238C" w:rsidRDefault="00262EA8" w:rsidP="00262EA8">
      <w:pPr>
        <w:shd w:val="clear" w:color="auto" w:fill="1A2E44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Appréhender les 3 types d’approche commerciale</w:t>
      </w:r>
    </w:p>
    <w:p w14:paraId="7226768A" w14:textId="77777777" w:rsidR="00262EA8" w:rsidRPr="0098238C" w:rsidRDefault="00262EA8" w:rsidP="00262EA8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Fidélisation</w:t>
      </w:r>
    </w:p>
    <w:p w14:paraId="489E7602" w14:textId="77777777" w:rsidR="00262EA8" w:rsidRPr="0098238C" w:rsidRDefault="00262EA8" w:rsidP="00262EA8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Vente additionnelle</w:t>
      </w:r>
    </w:p>
    <w:p w14:paraId="0221F788" w14:textId="77777777" w:rsidR="00262EA8" w:rsidRPr="0098238C" w:rsidRDefault="00262EA8" w:rsidP="00262EA8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Conquête</w:t>
      </w:r>
    </w:p>
    <w:p w14:paraId="2A1E6801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693C36BF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Différencier les approches en fonction des tailles et potentiels</w:t>
      </w:r>
    </w:p>
    <w:p w14:paraId="460D2E27" w14:textId="77777777" w:rsidR="00262EA8" w:rsidRPr="0098238C" w:rsidRDefault="00262EA8" w:rsidP="00262EA8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PME- , PME+ , ETI- , ETI+ , grands comptes (accords cadre)</w:t>
      </w:r>
    </w:p>
    <w:p w14:paraId="542E9A9A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02B0762C" w14:textId="77777777" w:rsidR="00262EA8" w:rsidRPr="0098238C" w:rsidRDefault="00262EA8" w:rsidP="00262EA8">
      <w:pPr>
        <w:spacing w:after="0" w:line="240" w:lineRule="auto"/>
        <w:rPr>
          <w:rFonts w:ascii="Candara" w:hAnsi="Candara"/>
          <w:color w:val="FFFFFF" w:themeColor="background1"/>
        </w:rPr>
      </w:pPr>
    </w:p>
    <w:p w14:paraId="46B22DF5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Savoir segmenter son portefeuille pour identifier les potentiels réels</w:t>
      </w:r>
    </w:p>
    <w:p w14:paraId="57228122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</w:p>
    <w:p w14:paraId="4C5A18AE" w14:textId="77777777" w:rsidR="00262EA8" w:rsidRPr="0098238C" w:rsidRDefault="00262EA8" w:rsidP="00262EA8">
      <w:pPr>
        <w:pStyle w:val="Paragraphedeliste"/>
        <w:rPr>
          <w:rFonts w:ascii="Candara" w:hAnsi="Candara"/>
          <w:color w:val="FFFFFF" w:themeColor="background1"/>
        </w:rPr>
      </w:pPr>
    </w:p>
    <w:p w14:paraId="02D4805D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 xml:space="preserve">Structurer ses actions et ses priorités </w:t>
      </w:r>
    </w:p>
    <w:p w14:paraId="2D4D1A6C" w14:textId="77777777" w:rsidR="00262EA8" w:rsidRPr="0098238C" w:rsidRDefault="00262EA8" w:rsidP="00262EA8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Construire son PAC – Plan d’Action Commercial</w:t>
      </w:r>
    </w:p>
    <w:p w14:paraId="3E2DD59E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p w14:paraId="51078F35" w14:textId="77777777" w:rsidR="00262EA8" w:rsidRPr="0090370E" w:rsidRDefault="00262EA8" w:rsidP="00262EA8">
      <w:pPr>
        <w:pStyle w:val="Paragraphedeliste"/>
        <w:rPr>
          <w:rFonts w:ascii="Candara" w:hAnsi="Candara"/>
          <w:color w:val="1A2E44"/>
        </w:rPr>
      </w:pPr>
    </w:p>
    <w:p w14:paraId="2A0DC3A4" w14:textId="77777777" w:rsidR="00262EA8" w:rsidRPr="0090370E" w:rsidRDefault="00262EA8" w:rsidP="00262EA8">
      <w:pPr>
        <w:pStyle w:val="Paragraphedeliste"/>
        <w:rPr>
          <w:rFonts w:ascii="Candara" w:hAnsi="Candara"/>
          <w:color w:val="1A2E44"/>
        </w:rPr>
      </w:pPr>
    </w:p>
    <w:p w14:paraId="072BEB24" w14:textId="691D0D51" w:rsidR="00262EA8" w:rsidRPr="0090370E" w:rsidRDefault="00262EA8" w:rsidP="00262EA8">
      <w:pPr>
        <w:pBdr>
          <w:top w:val="single" w:sz="12" w:space="1" w:color="1A2E44"/>
          <w:left w:val="single" w:sz="12" w:space="4" w:color="1A2E44"/>
          <w:bottom w:val="single" w:sz="12" w:space="1" w:color="1A2E44"/>
          <w:right w:val="single" w:sz="12" w:space="4" w:color="1A2E44"/>
        </w:pBdr>
        <w:spacing w:after="0"/>
        <w:jc w:val="center"/>
        <w:rPr>
          <w:rFonts w:ascii="Candara" w:hAnsi="Candara"/>
          <w:b/>
          <w:bCs/>
          <w:color w:val="1A2E44"/>
        </w:rPr>
      </w:pPr>
      <w:r w:rsidRPr="0090370E">
        <w:rPr>
          <w:rFonts w:ascii="Candara" w:hAnsi="Candara"/>
          <w:b/>
          <w:bCs/>
          <w:color w:val="1A2E44"/>
        </w:rPr>
        <w:t>EFFICACIT</w:t>
      </w:r>
      <w:r w:rsidR="000F3C56" w:rsidRPr="0090370E">
        <w:rPr>
          <w:rFonts w:ascii="Candara" w:hAnsi="Candara"/>
          <w:b/>
          <w:bCs/>
          <w:color w:val="1A2E44"/>
        </w:rPr>
        <w:t>É</w:t>
      </w:r>
    </w:p>
    <w:p w14:paraId="3AE87768" w14:textId="77777777" w:rsidR="00262EA8" w:rsidRPr="0090370E" w:rsidRDefault="00262EA8" w:rsidP="00262EA8">
      <w:pPr>
        <w:rPr>
          <w:rFonts w:ascii="Candara" w:hAnsi="Candara"/>
          <w:color w:val="1A2E44"/>
          <w:sz w:val="4"/>
          <w:szCs w:val="4"/>
        </w:rPr>
      </w:pPr>
    </w:p>
    <w:p w14:paraId="78E264B5" w14:textId="77777777" w:rsidR="00262EA8" w:rsidRPr="0098238C" w:rsidRDefault="000D2040" w:rsidP="000D204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026DD1">
        <w:rPr>
          <w:rFonts w:ascii="Candara" w:hAnsi="Candara"/>
          <w:b/>
          <w:color w:val="FFFFFF" w:themeColor="background1"/>
        </w:rPr>
        <w:t xml:space="preserve">Gagner en </w:t>
      </w:r>
      <w:r w:rsidRPr="0098238C">
        <w:rPr>
          <w:rFonts w:ascii="Candara" w:hAnsi="Candara"/>
          <w:b/>
          <w:color w:val="FFFFFF" w:themeColor="background1"/>
        </w:rPr>
        <w:t>efficacité en optimisant le plan d’action et plan de charge</w:t>
      </w:r>
    </w:p>
    <w:p w14:paraId="5B66CFFE" w14:textId="77777777" w:rsidR="00262EA8" w:rsidRPr="0098238C" w:rsidRDefault="00262EA8" w:rsidP="000D2040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</w:p>
    <w:p w14:paraId="665000ED" w14:textId="77777777" w:rsidR="00262EA8" w:rsidRPr="0098238C" w:rsidRDefault="00262EA8" w:rsidP="00262EA8">
      <w:pPr>
        <w:pStyle w:val="Paragraphedeliste"/>
        <w:rPr>
          <w:rFonts w:ascii="Candara" w:hAnsi="Candara"/>
          <w:color w:val="FFFFFF" w:themeColor="background1"/>
        </w:rPr>
      </w:pPr>
    </w:p>
    <w:p w14:paraId="702FDC70" w14:textId="7BFA17F1" w:rsidR="00E74F4E" w:rsidRPr="0098238C" w:rsidRDefault="00E74F4E" w:rsidP="00E74F4E">
      <w:pPr>
        <w:shd w:val="clear" w:color="auto" w:fill="1A2E44"/>
        <w:spacing w:after="60"/>
        <w:rPr>
          <w:rFonts w:ascii="Candara" w:hAnsi="Candara"/>
          <w:b/>
          <w:color w:val="FFFFFF" w:themeColor="background1"/>
        </w:rPr>
      </w:pPr>
      <w:r w:rsidRPr="0098238C">
        <w:rPr>
          <w:rFonts w:ascii="Candara" w:hAnsi="Candara"/>
          <w:b/>
          <w:color w:val="FFFFFF" w:themeColor="background1"/>
        </w:rPr>
        <w:t>Tirer parti des nouveaux outils</w:t>
      </w:r>
    </w:p>
    <w:p w14:paraId="65C4BE76" w14:textId="7E3ADDA5" w:rsidR="000D2040" w:rsidRPr="0098238C" w:rsidRDefault="002328E8" w:rsidP="00DB7F49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Le rôle majeur de l’ERP dans le travail du commercial</w:t>
      </w:r>
    </w:p>
    <w:p w14:paraId="69169C53" w14:textId="2BED9357" w:rsidR="00E74F4E" w:rsidRPr="0098238C" w:rsidRDefault="00E74F4E" w:rsidP="00DB7F49">
      <w:pPr>
        <w:pStyle w:val="Paragraphedeliste"/>
        <w:numPr>
          <w:ilvl w:val="0"/>
          <w:numId w:val="2"/>
        </w:numPr>
        <w:shd w:val="clear" w:color="auto" w:fill="1A2E44"/>
        <w:spacing w:after="60"/>
        <w:ind w:left="284" w:hanging="284"/>
        <w:contextualSpacing w:val="0"/>
        <w:rPr>
          <w:rFonts w:ascii="Candara" w:hAnsi="Candara"/>
          <w:color w:val="FFFFFF" w:themeColor="background1"/>
        </w:rPr>
      </w:pPr>
      <w:r w:rsidRPr="0098238C">
        <w:rPr>
          <w:rFonts w:ascii="Candara" w:hAnsi="Candara"/>
          <w:color w:val="FFFFFF" w:themeColor="background1"/>
        </w:rPr>
        <w:t>Savoir utiliser l’IA pour gagner en temps et efficacité</w:t>
      </w:r>
    </w:p>
    <w:p w14:paraId="2AFF435C" w14:textId="77777777" w:rsidR="00262EA8" w:rsidRPr="0098238C" w:rsidRDefault="00262EA8" w:rsidP="00262EA8">
      <w:pPr>
        <w:shd w:val="clear" w:color="auto" w:fill="1A2E44"/>
        <w:spacing w:after="60"/>
        <w:rPr>
          <w:rFonts w:ascii="Candara" w:hAnsi="Candara"/>
          <w:color w:val="FFFFFF" w:themeColor="background1"/>
        </w:rPr>
      </w:pPr>
    </w:p>
    <w:sectPr w:rsidR="00262EA8" w:rsidRPr="0098238C" w:rsidSect="003641A2">
      <w:type w:val="continuous"/>
      <w:pgSz w:w="11906" w:h="16838"/>
      <w:pgMar w:top="2013" w:right="1134" w:bottom="1418" w:left="1134" w:header="709" w:footer="22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47A3" w14:textId="77777777" w:rsidR="002A516D" w:rsidRDefault="002A516D" w:rsidP="009D14ED">
      <w:pPr>
        <w:spacing w:after="0" w:line="240" w:lineRule="auto"/>
      </w:pPr>
      <w:r>
        <w:separator/>
      </w:r>
    </w:p>
  </w:endnote>
  <w:endnote w:type="continuationSeparator" w:id="0">
    <w:p w14:paraId="2A839A01" w14:textId="77777777" w:rsidR="002A516D" w:rsidRDefault="002A516D" w:rsidP="009D14ED">
      <w:pPr>
        <w:spacing w:after="0" w:line="240" w:lineRule="auto"/>
      </w:pPr>
      <w:r>
        <w:continuationSeparator/>
      </w:r>
    </w:p>
  </w:endnote>
  <w:endnote w:type="continuationNotice" w:id="1">
    <w:p w14:paraId="4C664B7A" w14:textId="77777777" w:rsidR="002A516D" w:rsidRDefault="002A5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Narrow Book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510C" w14:textId="77777777" w:rsidR="006D3E96" w:rsidRDefault="006D3E96">
    <w:pPr>
      <w:pStyle w:val="Pieddepage"/>
    </w:pPr>
  </w:p>
  <w:p w14:paraId="63CDF53A" w14:textId="77777777" w:rsidR="006D3E96" w:rsidRDefault="006D3E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06F" w14:textId="77777777" w:rsidR="001E0C04" w:rsidRPr="001E0C04" w:rsidRDefault="001E0C04" w:rsidP="001E0C04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1E0C04">
      <w:rPr>
        <w:rFonts w:ascii="Candara" w:hAnsi="Candara"/>
        <w:noProof/>
        <w:color w:val="1A2E44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5D5B980A" wp14:editId="65379082">
              <wp:simplePos x="0" y="0"/>
              <wp:positionH relativeFrom="margin">
                <wp:posOffset>2670118</wp:posOffset>
              </wp:positionH>
              <wp:positionV relativeFrom="page">
                <wp:posOffset>9759315</wp:posOffset>
              </wp:positionV>
              <wp:extent cx="720000" cy="0"/>
              <wp:effectExtent l="0" t="0" r="0" b="0"/>
              <wp:wrapNone/>
              <wp:docPr id="240519402" name="Connecteur droit 2405194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A2E4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498576" id="Connecteur droit 240519402" o:spid="_x0000_s1026" style="position:absolute;z-index:2516623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10.25pt,768.45pt" to="266.95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" strokecolor="#1a2e44" strokeweight=".25pt">
              <v:stroke joinstyle="miter"/>
              <w10:wrap anchorx="margin" anchory="page"/>
            </v:line>
          </w:pict>
        </mc:Fallback>
      </mc:AlternateConten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>Berenice Conseil est une marque de BERENICE GROUP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br/>
      <w:t>104, avenue Albert 1</w:t>
    </w:r>
    <w:r w:rsidRPr="001E0C04">
      <w:rPr>
        <w:rFonts w:ascii="Candara" w:hAnsi="Candara"/>
        <w:noProof/>
        <w:color w:val="1A2E44"/>
        <w:sz w:val="16"/>
        <w:szCs w:val="16"/>
        <w:vertAlign w:val="superscript"/>
        <w:lang w:eastAsia="fr-FR"/>
      </w:rPr>
      <w:t>er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, 92500 Rueil-Malmaison, France </w:t>
    </w:r>
    <w:r w:rsidRPr="001E0C04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 bonjour@berenice-conseil.com</w:t>
    </w:r>
    <w:r w:rsidRPr="001E0C04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 xml:space="preserve"> .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 www.berenice-conseil.com</w:t>
    </w:r>
  </w:p>
  <w:p w14:paraId="47616441" w14:textId="77777777" w:rsidR="001E0C04" w:rsidRPr="001E0C04" w:rsidRDefault="001E0C04" w:rsidP="001E0C04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SAS au capital de 17 410 € </w:t>
    </w:r>
    <w:r w:rsidRPr="001E0C04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 SIRET 852 327 659 00029 </w:t>
    </w:r>
    <w:r w:rsidRPr="001E0C04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 RCS Nanterre 852 327 659 </w:t>
    </w:r>
    <w:r w:rsidRPr="001E0C04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 Code APE 70.22Z</w:t>
    </w:r>
  </w:p>
  <w:p w14:paraId="7E4FFAF5" w14:textId="77777777" w:rsidR="001E0C04" w:rsidRPr="001E0C04" w:rsidRDefault="001E0C04" w:rsidP="001E0C04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Numéro de déclaration d’activité en tant qu’organisme de formation : 119 223 457 92 </w:t>
    </w:r>
    <w:r w:rsidRPr="001E0C04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1E0C04">
      <w:rPr>
        <w:rFonts w:ascii="Candara" w:hAnsi="Candara"/>
        <w:noProof/>
        <w:color w:val="1A2E44"/>
        <w:sz w:val="16"/>
        <w:szCs w:val="16"/>
        <w:lang w:eastAsia="fr-FR"/>
      </w:rPr>
      <w:t xml:space="preserve"> Certification Qualiopi : F2862</w:t>
    </w:r>
  </w:p>
  <w:p w14:paraId="57FF2290" w14:textId="7F6B602B" w:rsidR="006D3E96" w:rsidRPr="001E0C04" w:rsidRDefault="006D3E96" w:rsidP="001E0C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729AB" w14:textId="77777777" w:rsidR="00E5236F" w:rsidRPr="006569A1" w:rsidRDefault="00E5236F" w:rsidP="00E5236F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6569A1">
      <w:rPr>
        <w:rFonts w:ascii="Candara" w:hAnsi="Candara"/>
        <w:noProof/>
        <w:color w:val="1A2E44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07C6BDA6" wp14:editId="6E662BB2">
              <wp:simplePos x="0" y="0"/>
              <wp:positionH relativeFrom="margin">
                <wp:posOffset>2688590</wp:posOffset>
              </wp:positionH>
              <wp:positionV relativeFrom="page">
                <wp:posOffset>9759315</wp:posOffset>
              </wp:positionV>
              <wp:extent cx="720000" cy="0"/>
              <wp:effectExtent l="0" t="0" r="0" b="0"/>
              <wp:wrapNone/>
              <wp:docPr id="561595552" name="Connecteur droit 5615955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A2E4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35C7FE" id="Connecteur droit 561595552" o:spid="_x0000_s1026" style="position:absolute;z-index:25166029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211.7pt,768.45pt" to="268.4pt,7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" strokecolor="#1a2e44" strokeweight=".25pt">
              <v:stroke joinstyle="miter"/>
              <w10:wrap anchorx="margin" anchory="page"/>
            </v:line>
          </w:pict>
        </mc:Fallback>
      </mc:AlternateConten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>Berenice Conseil est une marque de BERENICE GROUP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br/>
      <w:t>104, avenue Albert 1</w:t>
    </w:r>
    <w:r w:rsidRPr="006569A1">
      <w:rPr>
        <w:rFonts w:ascii="Candara" w:hAnsi="Candara"/>
        <w:noProof/>
        <w:color w:val="1A2E44"/>
        <w:sz w:val="16"/>
        <w:szCs w:val="16"/>
        <w:vertAlign w:val="superscript"/>
        <w:lang w:eastAsia="fr-FR"/>
      </w:rPr>
      <w:t>er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, 92500 Rueil-Malmaison, France </w:t>
    </w:r>
    <w:r w:rsidRPr="006569A1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 bonjour@berenice-conseil.com</w:t>
    </w:r>
    <w:r w:rsidRPr="006569A1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 xml:space="preserve"> .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 www.berenice-conseil.com</w:t>
    </w:r>
  </w:p>
  <w:p w14:paraId="52463779" w14:textId="77777777" w:rsidR="00E5236F" w:rsidRPr="006569A1" w:rsidRDefault="00E5236F" w:rsidP="00E5236F">
    <w:pPr>
      <w:pStyle w:val="Pieddepage"/>
      <w:jc w:val="center"/>
      <w:rPr>
        <w:rFonts w:ascii="Candara" w:hAnsi="Candara"/>
        <w:noProof/>
        <w:color w:val="1A2E44"/>
        <w:sz w:val="16"/>
        <w:szCs w:val="16"/>
        <w:lang w:eastAsia="fr-FR"/>
      </w:rPr>
    </w:pP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SAS au capital de 17 410 € </w:t>
    </w:r>
    <w:r w:rsidRPr="006569A1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 SIRET 852 327 659 00029 </w:t>
    </w:r>
    <w:r w:rsidRPr="006569A1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 RCS Nanterre 852 327 659 </w:t>
    </w:r>
    <w:r w:rsidRPr="006569A1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 Code APE 70.22Z</w:t>
    </w:r>
  </w:p>
  <w:p w14:paraId="12187D2B" w14:textId="6ACAF931" w:rsidR="006D3E96" w:rsidRPr="00E5236F" w:rsidRDefault="00E5236F" w:rsidP="00E5236F">
    <w:pPr>
      <w:pStyle w:val="Pieddepage"/>
    </w:pP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Numéro de déclaration d’activité en tant qu’organisme de formation : 119 223 457 92 </w:t>
    </w:r>
    <w:r w:rsidRPr="006569A1">
      <w:rPr>
        <w:rFonts w:ascii="Candara" w:hAnsi="Candara"/>
        <w:b/>
        <w:noProof/>
        <w:color w:val="1A2E44"/>
        <w:sz w:val="16"/>
        <w:szCs w:val="16"/>
        <w:vertAlign w:val="superscript"/>
        <w:lang w:eastAsia="fr-FR"/>
      </w:rPr>
      <w:t>.</w:t>
    </w:r>
    <w:r w:rsidRPr="006569A1">
      <w:rPr>
        <w:rFonts w:ascii="Candara" w:hAnsi="Candara"/>
        <w:noProof/>
        <w:color w:val="1A2E44"/>
        <w:sz w:val="16"/>
        <w:szCs w:val="16"/>
        <w:lang w:eastAsia="fr-FR"/>
      </w:rPr>
      <w:t xml:space="preserve"> Certification Qualiopi : F2862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B99D" w14:textId="77777777" w:rsidR="002A516D" w:rsidRDefault="002A516D" w:rsidP="009D14ED">
      <w:pPr>
        <w:spacing w:after="0" w:line="240" w:lineRule="auto"/>
      </w:pPr>
      <w:r>
        <w:separator/>
      </w:r>
    </w:p>
  </w:footnote>
  <w:footnote w:type="continuationSeparator" w:id="0">
    <w:p w14:paraId="17AB6B1B" w14:textId="77777777" w:rsidR="002A516D" w:rsidRDefault="002A516D" w:rsidP="009D14ED">
      <w:pPr>
        <w:spacing w:after="0" w:line="240" w:lineRule="auto"/>
      </w:pPr>
      <w:r>
        <w:continuationSeparator/>
      </w:r>
    </w:p>
  </w:footnote>
  <w:footnote w:type="continuationNotice" w:id="1">
    <w:p w14:paraId="67958BBD" w14:textId="77777777" w:rsidR="002A516D" w:rsidRDefault="002A5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1B4E" w14:textId="77777777" w:rsidR="006D3E96" w:rsidRDefault="006D3E96">
    <w:pPr>
      <w:pStyle w:val="En-tte"/>
    </w:pPr>
  </w:p>
  <w:p w14:paraId="6FE1610A" w14:textId="77777777" w:rsidR="006D3E96" w:rsidRDefault="006D3E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38CD" w14:textId="77777777" w:rsidR="006D3E96" w:rsidRDefault="006D3E96">
    <w:pPr>
      <w:pStyle w:val="En-tte"/>
    </w:pPr>
  </w:p>
  <w:p w14:paraId="09A5E6A5" w14:textId="77777777" w:rsidR="006D3E96" w:rsidRDefault="006D3E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0E88" w14:textId="77777777" w:rsidR="006D3E96" w:rsidRDefault="006D3E96" w:rsidP="00464CF8">
    <w:r>
      <w:rPr>
        <w:noProof/>
        <w:lang w:eastAsia="fr-FR"/>
      </w:rPr>
      <w:drawing>
        <wp:anchor distT="0" distB="0" distL="114300" distR="114300" simplePos="0" relativeHeight="251658242" behindDoc="1" locked="0" layoutInCell="1" allowOverlap="1" wp14:anchorId="701B5BE9" wp14:editId="64A1F26D">
          <wp:simplePos x="0" y="0"/>
          <wp:positionH relativeFrom="margin">
            <wp:align>center</wp:align>
          </wp:positionH>
          <wp:positionV relativeFrom="page">
            <wp:posOffset>268605</wp:posOffset>
          </wp:positionV>
          <wp:extent cx="2020570" cy="1116330"/>
          <wp:effectExtent l="0" t="0" r="0" b="7620"/>
          <wp:wrapNone/>
          <wp:docPr id="115682483" name="Image 115682483" descr="BERENICE CONSEIL - LOGO -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ENICE CONSEIL - LOGO - 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BC1"/>
    <w:multiLevelType w:val="hybridMultilevel"/>
    <w:tmpl w:val="202452D8"/>
    <w:lvl w:ilvl="0" w:tplc="5D7E053C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15E"/>
    <w:multiLevelType w:val="hybridMultilevel"/>
    <w:tmpl w:val="4C1C53A8"/>
    <w:lvl w:ilvl="0" w:tplc="EDC0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86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C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265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A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B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A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E6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29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4E05AF"/>
    <w:multiLevelType w:val="hybridMultilevel"/>
    <w:tmpl w:val="93A6B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10BF3"/>
    <w:multiLevelType w:val="hybridMultilevel"/>
    <w:tmpl w:val="E322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67579"/>
    <w:multiLevelType w:val="hybridMultilevel"/>
    <w:tmpl w:val="FCC83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7569C"/>
    <w:multiLevelType w:val="hybridMultilevel"/>
    <w:tmpl w:val="AE70A54C"/>
    <w:lvl w:ilvl="0" w:tplc="FB300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CE1C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C0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E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A3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85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64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3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7994508"/>
    <w:multiLevelType w:val="hybridMultilevel"/>
    <w:tmpl w:val="F9D036F8"/>
    <w:lvl w:ilvl="0" w:tplc="040C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7" w15:restartNumberingAfterBreak="0">
    <w:nsid w:val="63AD2C9E"/>
    <w:multiLevelType w:val="hybridMultilevel"/>
    <w:tmpl w:val="BCD01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946EA"/>
    <w:multiLevelType w:val="hybridMultilevel"/>
    <w:tmpl w:val="2A86BB84"/>
    <w:lvl w:ilvl="0" w:tplc="5D7E053C">
      <w:numFmt w:val="bullet"/>
      <w:lvlText w:val="•"/>
      <w:lvlJc w:val="left"/>
      <w:pPr>
        <w:ind w:left="1065" w:hanging="705"/>
      </w:pPr>
      <w:rPr>
        <w:rFonts w:ascii="Candara" w:eastAsiaTheme="minorHAnsi" w:hAnsi="Candara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605568">
    <w:abstractNumId w:val="7"/>
  </w:num>
  <w:num w:numId="2" w16cid:durableId="552667313">
    <w:abstractNumId w:val="3"/>
  </w:num>
  <w:num w:numId="3" w16cid:durableId="1091895812">
    <w:abstractNumId w:val="5"/>
  </w:num>
  <w:num w:numId="4" w16cid:durableId="1623608424">
    <w:abstractNumId w:val="2"/>
  </w:num>
  <w:num w:numId="5" w16cid:durableId="1161044679">
    <w:abstractNumId w:val="8"/>
  </w:num>
  <w:num w:numId="6" w16cid:durableId="1665428293">
    <w:abstractNumId w:val="0"/>
  </w:num>
  <w:num w:numId="7" w16cid:durableId="439837310">
    <w:abstractNumId w:val="6"/>
  </w:num>
  <w:num w:numId="8" w16cid:durableId="1323777655">
    <w:abstractNumId w:val="4"/>
  </w:num>
  <w:num w:numId="9" w16cid:durableId="114493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4ED"/>
    <w:rsid w:val="00010E8F"/>
    <w:rsid w:val="00011407"/>
    <w:rsid w:val="00015129"/>
    <w:rsid w:val="00015EC3"/>
    <w:rsid w:val="00017D5B"/>
    <w:rsid w:val="000200E7"/>
    <w:rsid w:val="00026DD1"/>
    <w:rsid w:val="00027AA4"/>
    <w:rsid w:val="00030FEB"/>
    <w:rsid w:val="000370CA"/>
    <w:rsid w:val="00040822"/>
    <w:rsid w:val="00041527"/>
    <w:rsid w:val="00046AA7"/>
    <w:rsid w:val="00050AD7"/>
    <w:rsid w:val="00052D8D"/>
    <w:rsid w:val="0006067E"/>
    <w:rsid w:val="0007627B"/>
    <w:rsid w:val="00076331"/>
    <w:rsid w:val="0007667D"/>
    <w:rsid w:val="0007786D"/>
    <w:rsid w:val="000839A7"/>
    <w:rsid w:val="00092A37"/>
    <w:rsid w:val="000A41FD"/>
    <w:rsid w:val="000B35B6"/>
    <w:rsid w:val="000B455E"/>
    <w:rsid w:val="000B4837"/>
    <w:rsid w:val="000C3E8F"/>
    <w:rsid w:val="000C5332"/>
    <w:rsid w:val="000C5902"/>
    <w:rsid w:val="000C7DB0"/>
    <w:rsid w:val="000D2040"/>
    <w:rsid w:val="000D3528"/>
    <w:rsid w:val="000E2792"/>
    <w:rsid w:val="000F092B"/>
    <w:rsid w:val="000F3C56"/>
    <w:rsid w:val="00106DD4"/>
    <w:rsid w:val="001148D2"/>
    <w:rsid w:val="00120E19"/>
    <w:rsid w:val="00124254"/>
    <w:rsid w:val="00134085"/>
    <w:rsid w:val="00134695"/>
    <w:rsid w:val="00134BDF"/>
    <w:rsid w:val="0013586F"/>
    <w:rsid w:val="00142C95"/>
    <w:rsid w:val="00144809"/>
    <w:rsid w:val="001452EF"/>
    <w:rsid w:val="00156DFF"/>
    <w:rsid w:val="001600EF"/>
    <w:rsid w:val="00160E87"/>
    <w:rsid w:val="00166764"/>
    <w:rsid w:val="001673C2"/>
    <w:rsid w:val="001746FF"/>
    <w:rsid w:val="00176561"/>
    <w:rsid w:val="00183727"/>
    <w:rsid w:val="00194299"/>
    <w:rsid w:val="001942A6"/>
    <w:rsid w:val="001A464D"/>
    <w:rsid w:val="001A6D4C"/>
    <w:rsid w:val="001B775A"/>
    <w:rsid w:val="001C038A"/>
    <w:rsid w:val="001D696D"/>
    <w:rsid w:val="001D7F4E"/>
    <w:rsid w:val="001E0C04"/>
    <w:rsid w:val="001E48CD"/>
    <w:rsid w:val="001F0AF2"/>
    <w:rsid w:val="001F335A"/>
    <w:rsid w:val="0021234E"/>
    <w:rsid w:val="00213B6A"/>
    <w:rsid w:val="002147E7"/>
    <w:rsid w:val="00215B20"/>
    <w:rsid w:val="00217E85"/>
    <w:rsid w:val="00223D62"/>
    <w:rsid w:val="00224571"/>
    <w:rsid w:val="002328E8"/>
    <w:rsid w:val="0023467A"/>
    <w:rsid w:val="00234DF3"/>
    <w:rsid w:val="00235E66"/>
    <w:rsid w:val="00236876"/>
    <w:rsid w:val="00237BA0"/>
    <w:rsid w:val="00251B20"/>
    <w:rsid w:val="00262EA8"/>
    <w:rsid w:val="0026428A"/>
    <w:rsid w:val="002642F0"/>
    <w:rsid w:val="0026791C"/>
    <w:rsid w:val="002721AE"/>
    <w:rsid w:val="002723CB"/>
    <w:rsid w:val="00273887"/>
    <w:rsid w:val="00281CB8"/>
    <w:rsid w:val="002914DC"/>
    <w:rsid w:val="002924CE"/>
    <w:rsid w:val="0029667E"/>
    <w:rsid w:val="002A516D"/>
    <w:rsid w:val="002B032B"/>
    <w:rsid w:val="002B0F9F"/>
    <w:rsid w:val="002B661B"/>
    <w:rsid w:val="002C23E5"/>
    <w:rsid w:val="002D74F8"/>
    <w:rsid w:val="002E587B"/>
    <w:rsid w:val="002F2A09"/>
    <w:rsid w:val="003023D8"/>
    <w:rsid w:val="003044D4"/>
    <w:rsid w:val="00304A73"/>
    <w:rsid w:val="00304F1A"/>
    <w:rsid w:val="00304F2E"/>
    <w:rsid w:val="00304F63"/>
    <w:rsid w:val="00314C10"/>
    <w:rsid w:val="003173B7"/>
    <w:rsid w:val="0032314B"/>
    <w:rsid w:val="00324B5F"/>
    <w:rsid w:val="0032768E"/>
    <w:rsid w:val="00333C1F"/>
    <w:rsid w:val="00334426"/>
    <w:rsid w:val="00341A48"/>
    <w:rsid w:val="00345955"/>
    <w:rsid w:val="003537CB"/>
    <w:rsid w:val="003612FD"/>
    <w:rsid w:val="00361A4A"/>
    <w:rsid w:val="003641A2"/>
    <w:rsid w:val="003658C1"/>
    <w:rsid w:val="00381F89"/>
    <w:rsid w:val="00396CD0"/>
    <w:rsid w:val="003A1DCE"/>
    <w:rsid w:val="003A5CF3"/>
    <w:rsid w:val="003A75E6"/>
    <w:rsid w:val="003B54B2"/>
    <w:rsid w:val="003C5E0D"/>
    <w:rsid w:val="003C70F2"/>
    <w:rsid w:val="003D398D"/>
    <w:rsid w:val="003D3E41"/>
    <w:rsid w:val="003D68FA"/>
    <w:rsid w:val="003E5785"/>
    <w:rsid w:val="003F4D5C"/>
    <w:rsid w:val="003F5AEA"/>
    <w:rsid w:val="004076A4"/>
    <w:rsid w:val="00411498"/>
    <w:rsid w:val="00413FF1"/>
    <w:rsid w:val="00422A29"/>
    <w:rsid w:val="00424761"/>
    <w:rsid w:val="0043140C"/>
    <w:rsid w:val="00432BFB"/>
    <w:rsid w:val="004422A5"/>
    <w:rsid w:val="00453B5C"/>
    <w:rsid w:val="00453D29"/>
    <w:rsid w:val="00456761"/>
    <w:rsid w:val="00464CF8"/>
    <w:rsid w:val="00472243"/>
    <w:rsid w:val="00473028"/>
    <w:rsid w:val="0047323F"/>
    <w:rsid w:val="004831AF"/>
    <w:rsid w:val="004832B9"/>
    <w:rsid w:val="00484364"/>
    <w:rsid w:val="0049105A"/>
    <w:rsid w:val="00491429"/>
    <w:rsid w:val="00492779"/>
    <w:rsid w:val="00494E3E"/>
    <w:rsid w:val="004A139D"/>
    <w:rsid w:val="004A5B40"/>
    <w:rsid w:val="004B73BF"/>
    <w:rsid w:val="004C454E"/>
    <w:rsid w:val="004C4A2C"/>
    <w:rsid w:val="004C7663"/>
    <w:rsid w:val="004D56F2"/>
    <w:rsid w:val="004D7D24"/>
    <w:rsid w:val="004E044B"/>
    <w:rsid w:val="004E699C"/>
    <w:rsid w:val="004F04E8"/>
    <w:rsid w:val="004F2DC7"/>
    <w:rsid w:val="004F6040"/>
    <w:rsid w:val="005007FB"/>
    <w:rsid w:val="00500A18"/>
    <w:rsid w:val="00506ECC"/>
    <w:rsid w:val="00514438"/>
    <w:rsid w:val="00514FDC"/>
    <w:rsid w:val="00515E08"/>
    <w:rsid w:val="00526A94"/>
    <w:rsid w:val="00527E50"/>
    <w:rsid w:val="00532755"/>
    <w:rsid w:val="0053597E"/>
    <w:rsid w:val="00541771"/>
    <w:rsid w:val="00541EB4"/>
    <w:rsid w:val="005524B0"/>
    <w:rsid w:val="00553B9D"/>
    <w:rsid w:val="00570C4D"/>
    <w:rsid w:val="00571BC4"/>
    <w:rsid w:val="00573089"/>
    <w:rsid w:val="00575295"/>
    <w:rsid w:val="00575999"/>
    <w:rsid w:val="00575E06"/>
    <w:rsid w:val="00581E93"/>
    <w:rsid w:val="00583959"/>
    <w:rsid w:val="005913F3"/>
    <w:rsid w:val="00595E11"/>
    <w:rsid w:val="005A06D4"/>
    <w:rsid w:val="005A0C99"/>
    <w:rsid w:val="005C5B11"/>
    <w:rsid w:val="005C61A2"/>
    <w:rsid w:val="005D0AB9"/>
    <w:rsid w:val="005E5F5C"/>
    <w:rsid w:val="005F6E63"/>
    <w:rsid w:val="00606086"/>
    <w:rsid w:val="00612BA2"/>
    <w:rsid w:val="00622153"/>
    <w:rsid w:val="0062277C"/>
    <w:rsid w:val="0064286D"/>
    <w:rsid w:val="006533D9"/>
    <w:rsid w:val="00656B5E"/>
    <w:rsid w:val="006710CE"/>
    <w:rsid w:val="00691623"/>
    <w:rsid w:val="00691DC3"/>
    <w:rsid w:val="0069292C"/>
    <w:rsid w:val="00692BAA"/>
    <w:rsid w:val="006A1529"/>
    <w:rsid w:val="006A3300"/>
    <w:rsid w:val="006B2267"/>
    <w:rsid w:val="006B6D41"/>
    <w:rsid w:val="006C1C1C"/>
    <w:rsid w:val="006D3E96"/>
    <w:rsid w:val="006E06BF"/>
    <w:rsid w:val="006E3ACA"/>
    <w:rsid w:val="006E4225"/>
    <w:rsid w:val="006F1DF1"/>
    <w:rsid w:val="006F374B"/>
    <w:rsid w:val="006F78E9"/>
    <w:rsid w:val="00704171"/>
    <w:rsid w:val="0070580E"/>
    <w:rsid w:val="007111B3"/>
    <w:rsid w:val="00713D8C"/>
    <w:rsid w:val="00714195"/>
    <w:rsid w:val="00727D0D"/>
    <w:rsid w:val="0073004F"/>
    <w:rsid w:val="007337C4"/>
    <w:rsid w:val="00746B53"/>
    <w:rsid w:val="00762015"/>
    <w:rsid w:val="00763672"/>
    <w:rsid w:val="007638BE"/>
    <w:rsid w:val="00763B67"/>
    <w:rsid w:val="007712E9"/>
    <w:rsid w:val="00771F16"/>
    <w:rsid w:val="00783E4F"/>
    <w:rsid w:val="007872ED"/>
    <w:rsid w:val="00790A07"/>
    <w:rsid w:val="00790AD3"/>
    <w:rsid w:val="00790E3E"/>
    <w:rsid w:val="007A28BB"/>
    <w:rsid w:val="007A479F"/>
    <w:rsid w:val="007B6DAD"/>
    <w:rsid w:val="007C6C45"/>
    <w:rsid w:val="007D06DA"/>
    <w:rsid w:val="007D18A0"/>
    <w:rsid w:val="007E0D5A"/>
    <w:rsid w:val="007F06BE"/>
    <w:rsid w:val="007F65F7"/>
    <w:rsid w:val="007F7846"/>
    <w:rsid w:val="00801E25"/>
    <w:rsid w:val="008060C8"/>
    <w:rsid w:val="008115EA"/>
    <w:rsid w:val="00811E0B"/>
    <w:rsid w:val="00814B40"/>
    <w:rsid w:val="00815527"/>
    <w:rsid w:val="008257E4"/>
    <w:rsid w:val="008305BA"/>
    <w:rsid w:val="008312C4"/>
    <w:rsid w:val="008317DF"/>
    <w:rsid w:val="00831938"/>
    <w:rsid w:val="00840AF7"/>
    <w:rsid w:val="0085338E"/>
    <w:rsid w:val="00854E84"/>
    <w:rsid w:val="00867CA1"/>
    <w:rsid w:val="00871F0E"/>
    <w:rsid w:val="0087498B"/>
    <w:rsid w:val="00881C3F"/>
    <w:rsid w:val="008852C2"/>
    <w:rsid w:val="00890832"/>
    <w:rsid w:val="008967D8"/>
    <w:rsid w:val="008A6A49"/>
    <w:rsid w:val="008A6EE7"/>
    <w:rsid w:val="008B0552"/>
    <w:rsid w:val="008B1093"/>
    <w:rsid w:val="008B1149"/>
    <w:rsid w:val="008B16D8"/>
    <w:rsid w:val="008B244F"/>
    <w:rsid w:val="008D54DF"/>
    <w:rsid w:val="008D5794"/>
    <w:rsid w:val="008D7859"/>
    <w:rsid w:val="008E07DB"/>
    <w:rsid w:val="008E12DD"/>
    <w:rsid w:val="008F05C0"/>
    <w:rsid w:val="00901633"/>
    <w:rsid w:val="0090370E"/>
    <w:rsid w:val="00905C71"/>
    <w:rsid w:val="00906A3E"/>
    <w:rsid w:val="00913F1C"/>
    <w:rsid w:val="00917286"/>
    <w:rsid w:val="009275D9"/>
    <w:rsid w:val="00931E15"/>
    <w:rsid w:val="00933943"/>
    <w:rsid w:val="00942121"/>
    <w:rsid w:val="00946BEF"/>
    <w:rsid w:val="009707B7"/>
    <w:rsid w:val="00972348"/>
    <w:rsid w:val="0097247D"/>
    <w:rsid w:val="00973091"/>
    <w:rsid w:val="00974490"/>
    <w:rsid w:val="00975AA1"/>
    <w:rsid w:val="009761B5"/>
    <w:rsid w:val="009802BD"/>
    <w:rsid w:val="0098238C"/>
    <w:rsid w:val="00982C39"/>
    <w:rsid w:val="00984A5C"/>
    <w:rsid w:val="00994D3B"/>
    <w:rsid w:val="009A0D35"/>
    <w:rsid w:val="009A1277"/>
    <w:rsid w:val="009A16BA"/>
    <w:rsid w:val="009A1DD9"/>
    <w:rsid w:val="009A283B"/>
    <w:rsid w:val="009A79CD"/>
    <w:rsid w:val="009A7E40"/>
    <w:rsid w:val="009B1C75"/>
    <w:rsid w:val="009B42F9"/>
    <w:rsid w:val="009B48B5"/>
    <w:rsid w:val="009B4BF4"/>
    <w:rsid w:val="009B7458"/>
    <w:rsid w:val="009C528A"/>
    <w:rsid w:val="009D14ED"/>
    <w:rsid w:val="009D4538"/>
    <w:rsid w:val="009D61AF"/>
    <w:rsid w:val="009E2072"/>
    <w:rsid w:val="009E529D"/>
    <w:rsid w:val="009E7DD1"/>
    <w:rsid w:val="009F6092"/>
    <w:rsid w:val="009F7619"/>
    <w:rsid w:val="00A04011"/>
    <w:rsid w:val="00A1012F"/>
    <w:rsid w:val="00A15144"/>
    <w:rsid w:val="00A261A8"/>
    <w:rsid w:val="00A36F8D"/>
    <w:rsid w:val="00A3760A"/>
    <w:rsid w:val="00A45456"/>
    <w:rsid w:val="00A46ED2"/>
    <w:rsid w:val="00A60E08"/>
    <w:rsid w:val="00A6174A"/>
    <w:rsid w:val="00A71286"/>
    <w:rsid w:val="00A74D17"/>
    <w:rsid w:val="00A75332"/>
    <w:rsid w:val="00A75C54"/>
    <w:rsid w:val="00A80F66"/>
    <w:rsid w:val="00A86F55"/>
    <w:rsid w:val="00A87367"/>
    <w:rsid w:val="00A94E4B"/>
    <w:rsid w:val="00AA354A"/>
    <w:rsid w:val="00AD0CB9"/>
    <w:rsid w:val="00AE27E3"/>
    <w:rsid w:val="00AE78C5"/>
    <w:rsid w:val="00AF623A"/>
    <w:rsid w:val="00B21CC9"/>
    <w:rsid w:val="00B21DCC"/>
    <w:rsid w:val="00B23959"/>
    <w:rsid w:val="00B40138"/>
    <w:rsid w:val="00B45215"/>
    <w:rsid w:val="00B4598F"/>
    <w:rsid w:val="00B45CBA"/>
    <w:rsid w:val="00B5582D"/>
    <w:rsid w:val="00B6439F"/>
    <w:rsid w:val="00B73105"/>
    <w:rsid w:val="00B772D7"/>
    <w:rsid w:val="00B77522"/>
    <w:rsid w:val="00B83081"/>
    <w:rsid w:val="00B865BA"/>
    <w:rsid w:val="00B86BD1"/>
    <w:rsid w:val="00B96F82"/>
    <w:rsid w:val="00BA2FEF"/>
    <w:rsid w:val="00BA3032"/>
    <w:rsid w:val="00BB1237"/>
    <w:rsid w:val="00BC217C"/>
    <w:rsid w:val="00BC3A1C"/>
    <w:rsid w:val="00BC6847"/>
    <w:rsid w:val="00BD3FE7"/>
    <w:rsid w:val="00BE20B5"/>
    <w:rsid w:val="00BE3DF3"/>
    <w:rsid w:val="00BE7D29"/>
    <w:rsid w:val="00BF4AC1"/>
    <w:rsid w:val="00BF5838"/>
    <w:rsid w:val="00C04634"/>
    <w:rsid w:val="00C067A5"/>
    <w:rsid w:val="00C0692E"/>
    <w:rsid w:val="00C1173D"/>
    <w:rsid w:val="00C16C42"/>
    <w:rsid w:val="00C21272"/>
    <w:rsid w:val="00C300C9"/>
    <w:rsid w:val="00C43E7E"/>
    <w:rsid w:val="00C54F17"/>
    <w:rsid w:val="00C564FF"/>
    <w:rsid w:val="00C63A82"/>
    <w:rsid w:val="00C6762C"/>
    <w:rsid w:val="00C72F2F"/>
    <w:rsid w:val="00C73872"/>
    <w:rsid w:val="00C77F22"/>
    <w:rsid w:val="00C84A3D"/>
    <w:rsid w:val="00C85784"/>
    <w:rsid w:val="00C90172"/>
    <w:rsid w:val="00C956E5"/>
    <w:rsid w:val="00CA0409"/>
    <w:rsid w:val="00CA169D"/>
    <w:rsid w:val="00CA624A"/>
    <w:rsid w:val="00CB0248"/>
    <w:rsid w:val="00CB4516"/>
    <w:rsid w:val="00CB7A07"/>
    <w:rsid w:val="00CC0752"/>
    <w:rsid w:val="00CC0779"/>
    <w:rsid w:val="00CC07FB"/>
    <w:rsid w:val="00CC3E72"/>
    <w:rsid w:val="00CC6A5F"/>
    <w:rsid w:val="00CC6E4F"/>
    <w:rsid w:val="00CC76CF"/>
    <w:rsid w:val="00CD4AFD"/>
    <w:rsid w:val="00CD6251"/>
    <w:rsid w:val="00CE6865"/>
    <w:rsid w:val="00CF1C2B"/>
    <w:rsid w:val="00CF70DB"/>
    <w:rsid w:val="00D01E03"/>
    <w:rsid w:val="00D16EA1"/>
    <w:rsid w:val="00D203CF"/>
    <w:rsid w:val="00D24471"/>
    <w:rsid w:val="00D26757"/>
    <w:rsid w:val="00D4274B"/>
    <w:rsid w:val="00D474A5"/>
    <w:rsid w:val="00D6629A"/>
    <w:rsid w:val="00D719B3"/>
    <w:rsid w:val="00D85ED9"/>
    <w:rsid w:val="00D9094D"/>
    <w:rsid w:val="00DA2F72"/>
    <w:rsid w:val="00DA3DE6"/>
    <w:rsid w:val="00DA489A"/>
    <w:rsid w:val="00DA48FE"/>
    <w:rsid w:val="00DB7F49"/>
    <w:rsid w:val="00DD0254"/>
    <w:rsid w:val="00DD0293"/>
    <w:rsid w:val="00DD0B98"/>
    <w:rsid w:val="00DD0D5A"/>
    <w:rsid w:val="00DD1905"/>
    <w:rsid w:val="00DD285D"/>
    <w:rsid w:val="00DD5101"/>
    <w:rsid w:val="00DD79CB"/>
    <w:rsid w:val="00DE0C19"/>
    <w:rsid w:val="00DE2B2D"/>
    <w:rsid w:val="00DE47FE"/>
    <w:rsid w:val="00DF1DE4"/>
    <w:rsid w:val="00DF49AD"/>
    <w:rsid w:val="00DF49D9"/>
    <w:rsid w:val="00DF4E4C"/>
    <w:rsid w:val="00DF6356"/>
    <w:rsid w:val="00E01067"/>
    <w:rsid w:val="00E029A1"/>
    <w:rsid w:val="00E11E39"/>
    <w:rsid w:val="00E1303B"/>
    <w:rsid w:val="00E13F5C"/>
    <w:rsid w:val="00E16929"/>
    <w:rsid w:val="00E25F75"/>
    <w:rsid w:val="00E27D55"/>
    <w:rsid w:val="00E34A5D"/>
    <w:rsid w:val="00E36B91"/>
    <w:rsid w:val="00E52134"/>
    <w:rsid w:val="00E5236F"/>
    <w:rsid w:val="00E54577"/>
    <w:rsid w:val="00E55460"/>
    <w:rsid w:val="00E74E9B"/>
    <w:rsid w:val="00E74F4E"/>
    <w:rsid w:val="00E80A03"/>
    <w:rsid w:val="00E80BE2"/>
    <w:rsid w:val="00E81B72"/>
    <w:rsid w:val="00E85715"/>
    <w:rsid w:val="00E86E1C"/>
    <w:rsid w:val="00EA00D1"/>
    <w:rsid w:val="00EB0D8D"/>
    <w:rsid w:val="00EB1074"/>
    <w:rsid w:val="00EB4394"/>
    <w:rsid w:val="00EB77B1"/>
    <w:rsid w:val="00EC06AD"/>
    <w:rsid w:val="00EC3CA2"/>
    <w:rsid w:val="00EC59CA"/>
    <w:rsid w:val="00ED0CE0"/>
    <w:rsid w:val="00EE424B"/>
    <w:rsid w:val="00EF0F92"/>
    <w:rsid w:val="00EF406A"/>
    <w:rsid w:val="00F000BA"/>
    <w:rsid w:val="00F003EF"/>
    <w:rsid w:val="00F04985"/>
    <w:rsid w:val="00F1352D"/>
    <w:rsid w:val="00F13615"/>
    <w:rsid w:val="00F16507"/>
    <w:rsid w:val="00F27E08"/>
    <w:rsid w:val="00F3174A"/>
    <w:rsid w:val="00F325B6"/>
    <w:rsid w:val="00F33F7D"/>
    <w:rsid w:val="00F366E1"/>
    <w:rsid w:val="00F41644"/>
    <w:rsid w:val="00F43D69"/>
    <w:rsid w:val="00F4729E"/>
    <w:rsid w:val="00F51F71"/>
    <w:rsid w:val="00F56453"/>
    <w:rsid w:val="00F61A52"/>
    <w:rsid w:val="00F62A0C"/>
    <w:rsid w:val="00F7557E"/>
    <w:rsid w:val="00F809CA"/>
    <w:rsid w:val="00F8386B"/>
    <w:rsid w:val="00F8701A"/>
    <w:rsid w:val="00F90BA0"/>
    <w:rsid w:val="00F91389"/>
    <w:rsid w:val="00F97E1E"/>
    <w:rsid w:val="00FC6CF5"/>
    <w:rsid w:val="00FD0381"/>
    <w:rsid w:val="00FD58E8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51DAC"/>
  <w15:chartTrackingRefBased/>
  <w15:docId w15:val="{3A18E86A-44F2-48CB-8764-6442D6A5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B20"/>
  </w:style>
  <w:style w:type="paragraph" w:styleId="Titre1">
    <w:name w:val="heading 1"/>
    <w:basedOn w:val="Normal"/>
    <w:next w:val="Normal"/>
    <w:link w:val="Titre1Car"/>
    <w:uiPriority w:val="9"/>
    <w:qFormat/>
    <w:rsid w:val="004832B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32B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4ED"/>
  </w:style>
  <w:style w:type="paragraph" w:styleId="Pieddepage">
    <w:name w:val="footer"/>
    <w:basedOn w:val="Normal"/>
    <w:link w:val="PieddepageCar"/>
    <w:uiPriority w:val="99"/>
    <w:unhideWhenUsed/>
    <w:rsid w:val="009D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4ED"/>
  </w:style>
  <w:style w:type="character" w:styleId="Lienhypertexte">
    <w:name w:val="Hyperlink"/>
    <w:basedOn w:val="Policepardfaut"/>
    <w:uiPriority w:val="99"/>
    <w:unhideWhenUsed/>
    <w:rsid w:val="005F6E6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8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uiPriority w:val="99"/>
    <w:rsid w:val="00215B20"/>
    <w:pPr>
      <w:autoSpaceDE w:val="0"/>
      <w:autoSpaceDN w:val="0"/>
      <w:adjustRightInd w:val="0"/>
      <w:spacing w:after="0" w:line="241" w:lineRule="atLeast"/>
    </w:pPr>
    <w:rPr>
      <w:rFonts w:ascii="Gotham Narrow Book" w:hAnsi="Gotham Narrow Book"/>
      <w:sz w:val="24"/>
      <w:szCs w:val="24"/>
    </w:rPr>
  </w:style>
  <w:style w:type="character" w:customStyle="1" w:styleId="A4">
    <w:name w:val="A4"/>
    <w:uiPriority w:val="99"/>
    <w:rsid w:val="00215B20"/>
    <w:rPr>
      <w:rFonts w:cs="Gotham Narrow Book"/>
      <w:color w:val="000000"/>
      <w:sz w:val="17"/>
      <w:szCs w:val="17"/>
    </w:rPr>
  </w:style>
  <w:style w:type="character" w:customStyle="1" w:styleId="lrzxr">
    <w:name w:val="lrzxr"/>
    <w:basedOn w:val="Policepardfaut"/>
    <w:rsid w:val="00176561"/>
  </w:style>
  <w:style w:type="paragraph" w:styleId="Titre">
    <w:name w:val="Title"/>
    <w:basedOn w:val="Normal"/>
    <w:next w:val="Normal"/>
    <w:link w:val="TitreCar"/>
    <w:uiPriority w:val="10"/>
    <w:qFormat/>
    <w:rsid w:val="00CC3E7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3E7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832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83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832B9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0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1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0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8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5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7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0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6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6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5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18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0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5515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5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57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2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1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3395e-2922-45c7-bb83-6d42617ee195" xsi:nil="true"/>
    <lcf76f155ced4ddcb4097134ff3c332f xmlns="a26998aa-704e-4da2-b09e-262683546af4">
      <Terms xmlns="http://schemas.microsoft.com/office/infopath/2007/PartnerControls"/>
    </lcf76f155ced4ddcb4097134ff3c332f>
    <MediaLengthInSeconds xmlns="a26998aa-704e-4da2-b09e-262683546a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34338C5F70E4CBBF05B4FF594F6E7" ma:contentTypeVersion="13" ma:contentTypeDescription="Crée un document." ma:contentTypeScope="" ma:versionID="fd6924139b197c496ed9f3d3fb335f88">
  <xsd:schema xmlns:xsd="http://www.w3.org/2001/XMLSchema" xmlns:xs="http://www.w3.org/2001/XMLSchema" xmlns:p="http://schemas.microsoft.com/office/2006/metadata/properties" xmlns:ns2="a26998aa-704e-4da2-b09e-262683546af4" xmlns:ns3="f343395e-2922-45c7-bb83-6d42617ee195" targetNamespace="http://schemas.microsoft.com/office/2006/metadata/properties" ma:root="true" ma:fieldsID="5c1d2feafba21b96ffa65182fb1de5ad" ns2:_="" ns3:_="">
    <xsd:import namespace="a26998aa-704e-4da2-b09e-262683546af4"/>
    <xsd:import namespace="f343395e-2922-45c7-bb83-6d42617ee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998aa-704e-4da2-b09e-262683546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59bd7f-8bea-4ee6-95b9-ef22a0b2f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3395e-2922-45c7-bb83-6d42617ee1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dbbc07-9e93-48ac-a2b1-aabfb33f9d49}" ma:internalName="TaxCatchAll" ma:showField="CatchAllData" ma:web="f343395e-2922-45c7-bb83-6d42617ee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63707-1CFE-45AB-95AB-6D1706AFBA74}">
  <ds:schemaRefs>
    <ds:schemaRef ds:uri="http://schemas.microsoft.com/office/2006/metadata/properties"/>
    <ds:schemaRef ds:uri="http://schemas.microsoft.com/office/infopath/2007/PartnerControls"/>
    <ds:schemaRef ds:uri="f343395e-2922-45c7-bb83-6d42617ee195"/>
    <ds:schemaRef ds:uri="a26998aa-704e-4da2-b09e-262683546af4"/>
  </ds:schemaRefs>
</ds:datastoreItem>
</file>

<file path=customXml/itemProps2.xml><?xml version="1.0" encoding="utf-8"?>
<ds:datastoreItem xmlns:ds="http://schemas.openxmlformats.org/officeDocument/2006/customXml" ds:itemID="{B0192D54-8B43-435D-B70C-2AF7C78D5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998aa-704e-4da2-b09e-262683546af4"/>
    <ds:schemaRef ds:uri="f343395e-2922-45c7-bb83-6d42617ee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042C0-2A18-482B-BF8D-CE7B2E6D4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B6F8E-CCCF-4B76-B1B9-029E07039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Poupaert</dc:creator>
  <cp:keywords/>
  <dc:description/>
  <cp:lastModifiedBy>Claudia PAGAN</cp:lastModifiedBy>
  <cp:revision>29</cp:revision>
  <cp:lastPrinted>2023-08-11T16:18:00Z</cp:lastPrinted>
  <dcterms:created xsi:type="dcterms:W3CDTF">2024-05-07T07:58:00Z</dcterms:created>
  <dcterms:modified xsi:type="dcterms:W3CDTF">2026-04-23T13:33:00Z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0x0101002AF34338C5F70E4CBBF05B4FF594F6E7</vt:lpwstr>
  </property>
  <property fmtid="{D5CDD505-2E9C-101B-9397-08002B2CF9AE}" pid="3" name="MediaServiceImageTags">
    <vt:lpwstr/>
  </property>
  <property fmtid="{D5CDD505-2E9C-101B-9397-08002B2CF9AE}" pid="4" name="Order">
    <vt:r8>2671600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